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42" w:rsidRPr="003C4742" w:rsidRDefault="003C4742" w:rsidP="003C4742">
      <w:pPr>
        <w:spacing w:after="0" w:line="240" w:lineRule="auto"/>
        <w:jc w:val="center"/>
        <w:rPr>
          <w:rFonts w:cstheme="majorHAnsi"/>
          <w:b/>
          <w:color w:val="262626" w:themeColor="text1" w:themeTint="D9"/>
          <w:sz w:val="28"/>
          <w:lang w:val="el-GR"/>
        </w:rPr>
      </w:pPr>
      <w:r w:rsidRPr="003C4742">
        <w:rPr>
          <w:rFonts w:cstheme="majorHAnsi"/>
          <w:b/>
          <w:color w:val="262626" w:themeColor="text1" w:themeTint="D9"/>
          <w:sz w:val="28"/>
          <w:lang w:val="el-GR"/>
        </w:rPr>
        <w:t xml:space="preserve">Οι επιδόσεις των ελληνικών Περιφερειών </w:t>
      </w:r>
    </w:p>
    <w:p w:rsidR="0096686D" w:rsidRDefault="003C4742" w:rsidP="003C4742">
      <w:pPr>
        <w:spacing w:after="0" w:line="240" w:lineRule="auto"/>
        <w:jc w:val="center"/>
        <w:rPr>
          <w:rFonts w:cstheme="majorHAnsi"/>
          <w:color w:val="262626" w:themeColor="text1" w:themeTint="D9"/>
          <w:sz w:val="28"/>
          <w:lang w:val="el-GR"/>
        </w:rPr>
      </w:pPr>
      <w:r w:rsidRPr="003C4742">
        <w:rPr>
          <w:rFonts w:cstheme="majorHAnsi"/>
          <w:b/>
          <w:color w:val="262626" w:themeColor="text1" w:themeTint="D9"/>
          <w:sz w:val="28"/>
          <w:lang w:val="el-GR"/>
        </w:rPr>
        <w:t xml:space="preserve">σε δραστηριότητες Έρευνας, Ανάπτυξης, Καινοτομίας σε νέα έκδοση του ΕΚΤ  </w:t>
      </w:r>
      <w:r w:rsidRPr="003C4742">
        <w:rPr>
          <w:rFonts w:cstheme="majorHAnsi"/>
          <w:color w:val="262626" w:themeColor="text1" w:themeTint="D9"/>
          <w:sz w:val="28"/>
          <w:lang w:val="el-GR"/>
        </w:rPr>
        <w:t xml:space="preserve"> </w:t>
      </w:r>
      <w:r w:rsidR="006F356C">
        <w:rPr>
          <w:rFonts w:cstheme="majorHAnsi"/>
          <w:color w:val="262626" w:themeColor="text1" w:themeTint="D9"/>
          <w:sz w:val="28"/>
          <w:lang w:val="el-GR"/>
        </w:rPr>
        <w:t>Αναλυτικά στοιχεία και δείκτες για δαπάνες και προσωπικό σε Έρευνα &amp; Ανάπτυξη</w:t>
      </w:r>
      <w:r w:rsidRPr="003C4742">
        <w:rPr>
          <w:rFonts w:cstheme="majorHAnsi"/>
          <w:color w:val="262626" w:themeColor="text1" w:themeTint="D9"/>
          <w:sz w:val="28"/>
          <w:lang w:val="el-GR"/>
        </w:rPr>
        <w:t>, επιστημονική αριστεία και εξωστρέφεια, επιχειρηματική καινοτομία</w:t>
      </w:r>
    </w:p>
    <w:p w:rsidR="003C4742" w:rsidRDefault="003C4742" w:rsidP="003C4742">
      <w:pPr>
        <w:spacing w:after="0" w:line="240" w:lineRule="auto"/>
        <w:jc w:val="center"/>
        <w:rPr>
          <w:rFonts w:cstheme="majorHAnsi"/>
          <w:b/>
          <w:color w:val="262626" w:themeColor="text1" w:themeTint="D9"/>
          <w:sz w:val="28"/>
          <w:lang w:val="el-GR"/>
        </w:rPr>
      </w:pPr>
    </w:p>
    <w:p w:rsidR="000D6C9C" w:rsidRDefault="003C4742" w:rsidP="003C4742">
      <w:pPr>
        <w:spacing w:after="0" w:line="240" w:lineRule="auto"/>
        <w:jc w:val="both"/>
        <w:rPr>
          <w:lang w:val="el-GR"/>
        </w:rPr>
      </w:pPr>
      <w:r w:rsidRPr="003C4742">
        <w:rPr>
          <w:lang w:val="el-GR"/>
        </w:rPr>
        <w:t xml:space="preserve">Μια ολοκληρωμένη εικόνα των επιδόσεων των ελληνικών Περιφερειών στην Έρευνα, Ανάπτυξη και Καινοτομία, τομείς κρίσιμους για τον αναπτυξιακό τους προσανατολισμό, παρουσιάζεται στη νέα έκδοση του Εθνικού Κέντρου Τεκμηρίωσης και Ηλεκτρονικού Περιεχομένου (ΕΚΤ) με τίτλο "Έρευνα, Ανάπτυξη &amp; Καινοτομία στις Ελληνικές Περιφέρειες - Έκδοση 2021". </w:t>
      </w:r>
    </w:p>
    <w:p w:rsidR="000D6C9C" w:rsidRDefault="000D6C9C" w:rsidP="003C4742">
      <w:pPr>
        <w:spacing w:after="0" w:line="240" w:lineRule="auto"/>
        <w:jc w:val="both"/>
        <w:rPr>
          <w:lang w:val="el-GR"/>
        </w:rPr>
      </w:pPr>
    </w:p>
    <w:p w:rsidR="003C4742" w:rsidRPr="003C4742" w:rsidRDefault="003C4742" w:rsidP="003C4742">
      <w:pPr>
        <w:spacing w:after="0" w:line="240" w:lineRule="auto"/>
        <w:jc w:val="both"/>
        <w:rPr>
          <w:lang w:val="el-GR"/>
        </w:rPr>
      </w:pPr>
      <w:r w:rsidRPr="003C4742">
        <w:rPr>
          <w:lang w:val="el-GR"/>
        </w:rPr>
        <w:t xml:space="preserve">H εκτενής έκδοση του ΕΚΤ συγκεντρώνει και αναλύει σε περιφερειακό επίπεδο τα πλέον πρόσφατα στοιχεία από τις ευρωπαϊκές και εθνικές επίσημες στατιστικές του ΕΚΤ, παρέχοντας αναλυτικά στοιχεία και δείκτες των ελληνικών Περιφερειών </w:t>
      </w:r>
      <w:r w:rsidR="000D6C9C">
        <w:rPr>
          <w:lang w:val="el-GR"/>
        </w:rPr>
        <w:t xml:space="preserve">για τις </w:t>
      </w:r>
      <w:r w:rsidRPr="003C4742">
        <w:rPr>
          <w:lang w:val="el-GR"/>
        </w:rPr>
        <w:t>δραστηριότητες έντασης γνώσης</w:t>
      </w:r>
      <w:r w:rsidR="000D6C9C">
        <w:rPr>
          <w:lang w:val="el-GR"/>
        </w:rPr>
        <w:t xml:space="preserve"> (τις </w:t>
      </w:r>
      <w:r w:rsidR="000D6C9C" w:rsidRPr="003C4742">
        <w:rPr>
          <w:lang w:val="el-GR"/>
        </w:rPr>
        <w:t xml:space="preserve">δαπάνες και </w:t>
      </w:r>
      <w:r w:rsidR="000D6C9C">
        <w:rPr>
          <w:lang w:val="el-GR"/>
        </w:rPr>
        <w:t xml:space="preserve">το </w:t>
      </w:r>
      <w:r w:rsidR="000D6C9C" w:rsidRPr="003C4742">
        <w:rPr>
          <w:lang w:val="el-GR"/>
        </w:rPr>
        <w:t xml:space="preserve">προσωπικό σε </w:t>
      </w:r>
      <w:r w:rsidR="000D6C9C">
        <w:rPr>
          <w:lang w:val="el-GR"/>
        </w:rPr>
        <w:t>Έρευνα &amp; Ανάπτυξη</w:t>
      </w:r>
      <w:r w:rsidR="000D6C9C" w:rsidRPr="003C4742">
        <w:rPr>
          <w:lang w:val="el-GR"/>
        </w:rPr>
        <w:t xml:space="preserve">, επιστημονική αριστεία και </w:t>
      </w:r>
      <w:r w:rsidR="000D6C9C">
        <w:rPr>
          <w:lang w:val="el-GR"/>
        </w:rPr>
        <w:t xml:space="preserve"> </w:t>
      </w:r>
      <w:r w:rsidR="000D6C9C" w:rsidRPr="003C4742">
        <w:rPr>
          <w:lang w:val="el-GR"/>
        </w:rPr>
        <w:t>εξωστρέφεια</w:t>
      </w:r>
      <w:r w:rsidR="000D6C9C">
        <w:rPr>
          <w:lang w:val="el-GR"/>
        </w:rPr>
        <w:t>, όπως αυτή αποτυπώνεται σε επιστημονικές δημοσιεύσεις, διδακτορικές διατριβές και συμμετοχή σε ευρωπαϊκά έργα</w:t>
      </w:r>
      <w:r w:rsidR="000D6C9C" w:rsidRPr="003C4742">
        <w:rPr>
          <w:lang w:val="el-GR"/>
        </w:rPr>
        <w:t>,</w:t>
      </w:r>
      <w:r w:rsidR="000D6C9C">
        <w:rPr>
          <w:lang w:val="el-GR"/>
        </w:rPr>
        <w:t xml:space="preserve"> την καινοτομία στις ελληνικές επιχειρήσεις</w:t>
      </w:r>
      <w:r w:rsidRPr="003C4742">
        <w:rPr>
          <w:lang w:val="el-GR"/>
        </w:rPr>
        <w:t>. Τα στοιχεία παρατίθενται συγκεντρωτικά για όλ</w:t>
      </w:r>
      <w:r w:rsidR="006F356C">
        <w:rPr>
          <w:lang w:val="el-GR"/>
        </w:rPr>
        <w:t>η τη χώρα</w:t>
      </w:r>
      <w:r w:rsidRPr="003C4742">
        <w:rPr>
          <w:lang w:val="el-GR"/>
        </w:rPr>
        <w:t>, αλλά και μεμονωμένα για κάθε Περιφέρεια ξεχωριστά.</w:t>
      </w:r>
    </w:p>
    <w:p w:rsidR="003C4742" w:rsidRPr="003C4742" w:rsidRDefault="003C4742" w:rsidP="003C4742">
      <w:pPr>
        <w:spacing w:after="0" w:line="240" w:lineRule="auto"/>
        <w:jc w:val="both"/>
        <w:rPr>
          <w:lang w:val="el-GR"/>
        </w:rPr>
      </w:pPr>
    </w:p>
    <w:p w:rsidR="003C4742" w:rsidRPr="003C4742" w:rsidRDefault="003C4742" w:rsidP="003C4742">
      <w:pPr>
        <w:spacing w:after="0" w:line="240" w:lineRule="auto"/>
        <w:jc w:val="both"/>
        <w:rPr>
          <w:i/>
          <w:lang w:val="el-GR"/>
        </w:rPr>
      </w:pPr>
      <w:r w:rsidRPr="003C4742">
        <w:rPr>
          <w:lang w:val="el-GR"/>
        </w:rPr>
        <w:t xml:space="preserve">Όπως τονίζει </w:t>
      </w:r>
      <w:r w:rsidR="006F356C">
        <w:rPr>
          <w:lang w:val="el-GR"/>
        </w:rPr>
        <w:t xml:space="preserve">στον πρόλογο </w:t>
      </w:r>
      <w:r w:rsidRPr="003C4742">
        <w:rPr>
          <w:lang w:val="el-GR"/>
        </w:rPr>
        <w:t xml:space="preserve">η Διευθύντρια του ΕΚΤ Δρ </w:t>
      </w:r>
      <w:r w:rsidR="007C6B0B" w:rsidRPr="003C4742">
        <w:rPr>
          <w:lang w:val="el-GR"/>
        </w:rPr>
        <w:t>Εύη</w:t>
      </w:r>
      <w:r w:rsidRPr="003C4742">
        <w:rPr>
          <w:lang w:val="el-GR"/>
        </w:rPr>
        <w:t xml:space="preserve"> Σαχίνη </w:t>
      </w:r>
      <w:r w:rsidRPr="003C4742">
        <w:rPr>
          <w:i/>
          <w:lang w:val="el-GR"/>
        </w:rPr>
        <w:t>«Η παραγωγή νέας γνώσης -δια της ερευνητικής δραστηριότητας- και η αξιοποίησή της στην πραγματική οικονομία και παραγωγή –δια της προώθησης και εφαρμογής της καινοτομίας- είναι ζωτικής σημασίας τόσο για την ενίσχυση της ανταγωνιστικότητας όσο και για την αντιμετώπιση των κοινωνικοοικονομικών προκλήσεων της εποχής μας. Η παρατεταμένη ύπαρξη χάσματος στις επιδόσεις μεταξύ περιοχών στους τομείς των δραστηριοτήτων έρευνας και καινοτομίας διευρύνει τις οικονομικές και αναπτυξιακές αποκλίσεις, αυξάνοντας τον κίνδυνο της εμφάνισης μια ιδιότυπης «παγίδας φτώχειας», η οποία καθηλώνει τις λιγότερο ευνοημένες περιοχές. Η έκδοση του ΕΚΤ, η δεύτερη στη σχετική σειρά, επιχειρεί να τροφοδοτήσει την, άκρως επίκαιρη λόγω της έναρξης του νέου ΕΣΠΑ 2021-2027, συζήτηση για τη σημασία της επίτευξης περιφερειακής ανάπτυξης βασιζόμενης στη γνώση».</w:t>
      </w:r>
    </w:p>
    <w:p w:rsidR="003C4742" w:rsidRPr="003C4742" w:rsidRDefault="003C4742" w:rsidP="003C4742">
      <w:pPr>
        <w:spacing w:after="0" w:line="240" w:lineRule="auto"/>
        <w:jc w:val="both"/>
        <w:rPr>
          <w:lang w:val="el-GR"/>
        </w:rPr>
      </w:pPr>
      <w:r w:rsidRPr="003C4742">
        <w:rPr>
          <w:lang w:val="el-GR"/>
        </w:rPr>
        <w:t xml:space="preserve">   </w:t>
      </w:r>
    </w:p>
    <w:p w:rsidR="003C4742" w:rsidRPr="003C4742" w:rsidRDefault="003C4742" w:rsidP="003C4742">
      <w:pPr>
        <w:spacing w:after="0" w:line="240" w:lineRule="auto"/>
        <w:jc w:val="both"/>
        <w:rPr>
          <w:lang w:val="el-GR"/>
        </w:rPr>
      </w:pPr>
      <w:r w:rsidRPr="003C4742">
        <w:rPr>
          <w:lang w:val="el-GR"/>
        </w:rPr>
        <w:t>Σύμφωνα με τα στοιχεία που παρουσιάζει η έκδοση και σε σύγκριση με την αντίστοιχη έκδοση του 2015, όλοι οι δείκτες παρουσιάζουν αυξητική τάση. Οι δείκτες αναφέρονται σε τέσσερις θε</w:t>
      </w:r>
      <w:r w:rsidR="007C6B0B">
        <w:rPr>
          <w:lang w:val="el-GR"/>
        </w:rPr>
        <w:t>μ</w:t>
      </w:r>
      <w:r w:rsidRPr="003C4742">
        <w:rPr>
          <w:lang w:val="el-GR"/>
        </w:rPr>
        <w:t>ατικούς άξονες: α) τις δραστηριότητες Έρευνας &amp; Ανάπτυξης, όπως αυτές αποτυπώνονται µέσω των δαπανών Ε&amp;Α που πραγ</w:t>
      </w:r>
      <w:r w:rsidR="007C6B0B">
        <w:rPr>
          <w:lang w:val="el-GR"/>
        </w:rPr>
        <w:t>μ</w:t>
      </w:r>
      <w:r w:rsidRPr="003C4742">
        <w:rPr>
          <w:lang w:val="el-GR"/>
        </w:rPr>
        <w:t>ατοποιούν οι φορείς κάθε Περιφέρειας, β) το ανθρώπινο δυναμικό που συ</w:t>
      </w:r>
      <w:r w:rsidR="007C6B0B">
        <w:rPr>
          <w:lang w:val="el-GR"/>
        </w:rPr>
        <w:t>μ</w:t>
      </w:r>
      <w:r w:rsidRPr="003C4742">
        <w:rPr>
          <w:lang w:val="el-GR"/>
        </w:rPr>
        <w:t>βάλλει στις δραστηριότητες Ε&amp;Α, γ) τις επιδόσεις των φορέων των Περιφερειών σε ανταγωνιστικά ευρωπαϊκά έργα, σε επιστημονικές δημοσιεύσεις και σε διδακτορικές διατριβές, από όπου προκύπτει η διεθνής παρουσία, η αριστεία και οι τομείς επιστημονικής και τεχνολογικής εξειδίκευσης των Περιφερειών, δ) τις καινοτομικές επιδόσεις των επιχειρήσεων των Περιφερειών.</w:t>
      </w:r>
    </w:p>
    <w:p w:rsidR="003C4742" w:rsidRPr="003C4742" w:rsidRDefault="003C4742" w:rsidP="003C4742">
      <w:pPr>
        <w:spacing w:after="0" w:line="240" w:lineRule="auto"/>
        <w:jc w:val="both"/>
        <w:rPr>
          <w:lang w:val="el-GR"/>
        </w:rPr>
      </w:pPr>
    </w:p>
    <w:p w:rsidR="003C4742" w:rsidRPr="003C4742" w:rsidRDefault="003C4742" w:rsidP="003C4742">
      <w:pPr>
        <w:spacing w:after="0" w:line="240" w:lineRule="auto"/>
        <w:jc w:val="both"/>
        <w:rPr>
          <w:lang w:val="el-GR"/>
        </w:rPr>
      </w:pPr>
      <w:r w:rsidRPr="003C4742">
        <w:rPr>
          <w:lang w:val="el-GR"/>
        </w:rPr>
        <w:t>Μερικά ενδιαφέροντα ευρήματα που αποτυπώνονται στην έκδοση του ΕΚΤ είναι:</w:t>
      </w:r>
    </w:p>
    <w:p w:rsidR="003C4742" w:rsidRPr="003C4742" w:rsidRDefault="003C4742" w:rsidP="003C4742">
      <w:pPr>
        <w:spacing w:after="0" w:line="240" w:lineRule="auto"/>
        <w:jc w:val="both"/>
        <w:rPr>
          <w:lang w:val="el-GR"/>
        </w:rPr>
      </w:pPr>
    </w:p>
    <w:p w:rsidR="003C4742" w:rsidRDefault="003C4742" w:rsidP="003C4742">
      <w:pPr>
        <w:spacing w:after="0" w:line="240" w:lineRule="auto"/>
        <w:jc w:val="both"/>
        <w:rPr>
          <w:lang w:val="el-GR"/>
        </w:rPr>
      </w:pPr>
      <w:r w:rsidRPr="002B5701">
        <w:rPr>
          <w:b/>
          <w:lang w:val="el-GR"/>
        </w:rPr>
        <w:t>Δαπάνες σε E&amp;A:</w:t>
      </w:r>
      <w:r w:rsidRPr="003C4742">
        <w:rPr>
          <w:lang w:val="el-GR"/>
        </w:rPr>
        <w:t xml:space="preserve"> Η ένταση Ε&amp;Α, δηλαδή η δαπάνη Ε&amp;Α ως ποσοστό (%) του ΑΕΠ, αποτελεί τον πιο βασικό δείκτη για τη ση</w:t>
      </w:r>
      <w:r w:rsidR="007C6B0B">
        <w:rPr>
          <w:lang w:val="el-GR"/>
        </w:rPr>
        <w:t>μ</w:t>
      </w:r>
      <w:r w:rsidRPr="003C4742">
        <w:rPr>
          <w:lang w:val="el-GR"/>
        </w:rPr>
        <w:t xml:space="preserve">ασία που αποδίδει </w:t>
      </w:r>
      <w:r w:rsidR="007C6B0B">
        <w:rPr>
          <w:lang w:val="el-GR"/>
        </w:rPr>
        <w:t>μ</w:t>
      </w:r>
      <w:r w:rsidRPr="003C4742">
        <w:rPr>
          <w:lang w:val="el-GR"/>
        </w:rPr>
        <w:t>ια χώρα ή περιφέρεια στη συγκεκρι</w:t>
      </w:r>
      <w:r w:rsidR="007C6B0B">
        <w:rPr>
          <w:lang w:val="el-GR"/>
        </w:rPr>
        <w:t>μ</w:t>
      </w:r>
      <w:r w:rsidRPr="003C4742">
        <w:rPr>
          <w:lang w:val="el-GR"/>
        </w:rPr>
        <w:t>ένη δραστηριότητα. Σύμφωνα με τα στοιχεία της έκδοσης για την ένταση Ε&amp;Α το 2019, οι Περιφέρειες Αττικής (1,63%), Κρήτης (1,51%), Ηπείρου (1,47%) και Δυτικής Ελλάδας (1,40%) υπερβαίνουν τον εθνικό μέσο όρο (1,28%).</w:t>
      </w:r>
    </w:p>
    <w:p w:rsidR="002953E0" w:rsidRDefault="002953E0" w:rsidP="003C4742">
      <w:pPr>
        <w:spacing w:after="0" w:line="240" w:lineRule="auto"/>
        <w:jc w:val="both"/>
        <w:rPr>
          <w:lang w:val="el-GR"/>
        </w:rPr>
      </w:pPr>
    </w:p>
    <w:p w:rsidR="002953E0" w:rsidRDefault="002953E0" w:rsidP="003C4742">
      <w:pPr>
        <w:spacing w:after="0" w:line="240" w:lineRule="auto"/>
        <w:jc w:val="both"/>
        <w:rPr>
          <w:lang w:val="el-GR"/>
        </w:rPr>
      </w:pPr>
      <w:r w:rsidRPr="002953E0">
        <w:rPr>
          <w:lang w:val="el-GR"/>
        </w:rPr>
        <w:t xml:space="preserve">Τα στατιστικά στοιχεία Ε&amp;Α αναλύονται σε 4 τομείς, στους οποίους κατηγοριοποιούνται οι φορείς που εκτελούν δραστηριότητες Ε&amp;Α (BES - </w:t>
      </w:r>
      <w:proofErr w:type="spellStart"/>
      <w:r w:rsidRPr="002953E0">
        <w:rPr>
          <w:lang w:val="el-GR"/>
        </w:rPr>
        <w:t>Business</w:t>
      </w:r>
      <w:proofErr w:type="spellEnd"/>
      <w:r w:rsidRPr="002953E0">
        <w:rPr>
          <w:lang w:val="el-GR"/>
        </w:rPr>
        <w:t xml:space="preserve"> </w:t>
      </w:r>
      <w:proofErr w:type="spellStart"/>
      <w:r w:rsidRPr="002953E0">
        <w:rPr>
          <w:lang w:val="el-GR"/>
        </w:rPr>
        <w:t>Sector</w:t>
      </w:r>
      <w:proofErr w:type="spellEnd"/>
      <w:r w:rsidRPr="002953E0">
        <w:rPr>
          <w:lang w:val="el-GR"/>
        </w:rPr>
        <w:t xml:space="preserve">: Τομέας επιχειρήσεων, GOV - </w:t>
      </w:r>
      <w:proofErr w:type="spellStart"/>
      <w:r w:rsidRPr="002953E0">
        <w:rPr>
          <w:lang w:val="el-GR"/>
        </w:rPr>
        <w:t>Government</w:t>
      </w:r>
      <w:proofErr w:type="spellEnd"/>
      <w:r w:rsidRPr="002953E0">
        <w:rPr>
          <w:lang w:val="el-GR"/>
        </w:rPr>
        <w:t xml:space="preserve"> </w:t>
      </w:r>
      <w:proofErr w:type="spellStart"/>
      <w:r w:rsidRPr="002953E0">
        <w:rPr>
          <w:lang w:val="el-GR"/>
        </w:rPr>
        <w:t>Sector</w:t>
      </w:r>
      <w:proofErr w:type="spellEnd"/>
      <w:r w:rsidRPr="002953E0">
        <w:rPr>
          <w:lang w:val="el-GR"/>
        </w:rPr>
        <w:t xml:space="preserve">: Κρατικός τομέας, HES  - </w:t>
      </w:r>
      <w:proofErr w:type="spellStart"/>
      <w:r w:rsidRPr="002953E0">
        <w:rPr>
          <w:lang w:val="el-GR"/>
        </w:rPr>
        <w:t>Higher</w:t>
      </w:r>
      <w:proofErr w:type="spellEnd"/>
      <w:r w:rsidRPr="002953E0">
        <w:rPr>
          <w:lang w:val="el-GR"/>
        </w:rPr>
        <w:t xml:space="preserve"> </w:t>
      </w:r>
      <w:proofErr w:type="spellStart"/>
      <w:r w:rsidRPr="002953E0">
        <w:rPr>
          <w:lang w:val="el-GR"/>
        </w:rPr>
        <w:t>Education</w:t>
      </w:r>
      <w:proofErr w:type="spellEnd"/>
      <w:r w:rsidRPr="002953E0">
        <w:rPr>
          <w:lang w:val="el-GR"/>
        </w:rPr>
        <w:t xml:space="preserve"> </w:t>
      </w:r>
      <w:proofErr w:type="spellStart"/>
      <w:r w:rsidRPr="002953E0">
        <w:rPr>
          <w:lang w:val="el-GR"/>
        </w:rPr>
        <w:t>Sector</w:t>
      </w:r>
      <w:proofErr w:type="spellEnd"/>
      <w:r w:rsidRPr="002953E0">
        <w:rPr>
          <w:lang w:val="el-GR"/>
        </w:rPr>
        <w:t xml:space="preserve">: Τομέας τριτοβάθμιας εκπαίδευσης, PNP - </w:t>
      </w:r>
      <w:proofErr w:type="spellStart"/>
      <w:r w:rsidRPr="002953E0">
        <w:rPr>
          <w:lang w:val="el-GR"/>
        </w:rPr>
        <w:t>Private</w:t>
      </w:r>
      <w:proofErr w:type="spellEnd"/>
      <w:r w:rsidRPr="002953E0">
        <w:rPr>
          <w:lang w:val="el-GR"/>
        </w:rPr>
        <w:t xml:space="preserve"> </w:t>
      </w:r>
      <w:proofErr w:type="spellStart"/>
      <w:r w:rsidRPr="002953E0">
        <w:rPr>
          <w:lang w:val="el-GR"/>
        </w:rPr>
        <w:t>Non</w:t>
      </w:r>
      <w:proofErr w:type="spellEnd"/>
      <w:r w:rsidRPr="002953E0">
        <w:rPr>
          <w:lang w:val="el-GR"/>
        </w:rPr>
        <w:t xml:space="preserve"> </w:t>
      </w:r>
      <w:proofErr w:type="spellStart"/>
      <w:r w:rsidRPr="002953E0">
        <w:rPr>
          <w:lang w:val="el-GR"/>
        </w:rPr>
        <w:t>Profit</w:t>
      </w:r>
      <w:proofErr w:type="spellEnd"/>
      <w:r w:rsidRPr="002953E0">
        <w:rPr>
          <w:lang w:val="el-GR"/>
        </w:rPr>
        <w:t xml:space="preserve"> </w:t>
      </w:r>
      <w:proofErr w:type="spellStart"/>
      <w:r w:rsidRPr="002953E0">
        <w:rPr>
          <w:lang w:val="el-GR"/>
        </w:rPr>
        <w:t>Organisations</w:t>
      </w:r>
      <w:proofErr w:type="spellEnd"/>
      <w:r w:rsidRPr="002953E0">
        <w:rPr>
          <w:lang w:val="el-GR"/>
        </w:rPr>
        <w:t>: Τομέας ιδιωτικών μη κερδοσκοπικών ιδρυμάτων). Σε αυτό το πλαίσιο, σύμφωνα με τα στοιχεία για τη διάρθρωση της πραγματοποιούμενης δαπάνης Ε&amp;Α, o τομέας των επιχειρήσεων πραγματοποιεί το μεγαλύτερο μέρος της Ε&amp;Α στην Περιφέρεια Αττικής, στην Περιφέρεια Στερεάς Ελλάδας και στην Περιφέρεια Πελοποννήσου. Στις υπόλοιπες Περιφέρειες το υψηλότερο μερίδιο καταλαμβάνει είτε ο τομέας τριτοβάθμιας εκπαίδευσης (στις περιπτώσεις των Περιφερειών Κεντρικής Μακεδονίας, Δυτικής Ελλάδας, Θεσσαλίας, Ηπείρου, Ανατολικής Μακεδονίας-Θράκης, Βορείου Αιγαίου, Δυτικής Μακεδονίας, Ιονίων Νήσων), είτε ο κρατικός τομέας (στις περιπτώσεις των Περιφερειών Κρήτης, και Νοτίου Αιγαίου).</w:t>
      </w:r>
    </w:p>
    <w:p w:rsidR="002953E0" w:rsidRPr="003C4742" w:rsidRDefault="002953E0" w:rsidP="003C4742">
      <w:pPr>
        <w:spacing w:after="0" w:line="240" w:lineRule="auto"/>
        <w:jc w:val="both"/>
        <w:rPr>
          <w:lang w:val="el-GR"/>
        </w:rPr>
      </w:pPr>
    </w:p>
    <w:p w:rsidR="003C4742" w:rsidRDefault="003C4742" w:rsidP="003C4742">
      <w:pPr>
        <w:spacing w:after="0" w:line="240" w:lineRule="auto"/>
        <w:jc w:val="both"/>
        <w:rPr>
          <w:lang w:val="el-GR"/>
        </w:rPr>
      </w:pPr>
      <w:r w:rsidRPr="001B6400">
        <w:rPr>
          <w:b/>
          <w:lang w:val="el-GR"/>
        </w:rPr>
        <w:t>Προσωπικό σε Ε&amp;Α:</w:t>
      </w:r>
      <w:r w:rsidRPr="003C4742">
        <w:rPr>
          <w:lang w:val="el-GR"/>
        </w:rPr>
        <w:t xml:space="preserve"> Όσον αφορά την απασχόληση του προσωπικού Ε&amp;Α, δηλαδή των ερευνητών  (επιστήμονες, μηχανικοί, διδάκτορες κ.λπ.) και του λοιπού προσωπικού (όπως τεχνικοί, προγραμματιστές, διοικητικοί υπάλληλοι κ.λπ.), το μεγαλύτερο μέρος εντοπίζεται στην Περιφέρεια Αττικής, ενώ ακολουθούν η Περιφέρεια Κεντρικής Μακεδονίας και η Περιφέρεια Κρήτης. Στον δείκτη «Ποσοστό (%) του προσωπικού Ε&amp;Α στον οικονομικά ενεργό πληθυσμό (εργατικό δυναμικό)» που συμπεριλαμβάνεται στους δείκτες παρακολούθησης του </w:t>
      </w:r>
      <w:r w:rsidR="001B6400">
        <w:rPr>
          <w:lang w:val="el-GR"/>
        </w:rPr>
        <w:t xml:space="preserve">«Στόχου </w:t>
      </w:r>
      <w:r w:rsidRPr="003C4742">
        <w:rPr>
          <w:lang w:val="el-GR"/>
        </w:rPr>
        <w:t xml:space="preserve">9 – Βιομηχανία, Καινοτομία και Υποδομές» των Στόχων Βιώσιμης Ανάπτυξης των Ηνωμένων Εθνών, η υψηλότερη επίδοση το 2019 καταγράφεται στην Περιφέρεια Αττικής (1,56%) και ακολουθούν η Περιφέρεια Δυτικής Ελλάδας (1,38%), η Περιφέρεια Κρήτης (1,37%), και η Περιφέρεια Ηπείρου (1,24%), ποσοστά που είναι υψηλότερα της μέσης εθνικής επίδοσης (1,18%). </w:t>
      </w:r>
    </w:p>
    <w:p w:rsidR="003C4742" w:rsidRPr="003C4742" w:rsidRDefault="003C4742" w:rsidP="003C4742">
      <w:pPr>
        <w:spacing w:after="0" w:line="240" w:lineRule="auto"/>
        <w:jc w:val="both"/>
        <w:rPr>
          <w:lang w:val="el-GR"/>
        </w:rPr>
      </w:pPr>
    </w:p>
    <w:p w:rsidR="003C4742" w:rsidRDefault="003C4742" w:rsidP="003C4742">
      <w:pPr>
        <w:spacing w:after="0" w:line="240" w:lineRule="auto"/>
        <w:jc w:val="both"/>
        <w:rPr>
          <w:lang w:val="el-GR"/>
        </w:rPr>
      </w:pPr>
      <w:r w:rsidRPr="001B6400">
        <w:rPr>
          <w:b/>
          <w:lang w:val="el-GR"/>
        </w:rPr>
        <w:t>Επιστημονική αριστεία και εξωστρέφεια:</w:t>
      </w:r>
      <w:r w:rsidRPr="003C4742">
        <w:rPr>
          <w:lang w:val="el-GR"/>
        </w:rPr>
        <w:t xml:space="preserve"> Τα δεδομένα συμμετοχής των ελληνικών</w:t>
      </w:r>
      <w:r w:rsidR="001B6400">
        <w:rPr>
          <w:lang w:val="el-GR"/>
        </w:rPr>
        <w:t xml:space="preserve"> φορέων σε ερευνητικά έργα στο π</w:t>
      </w:r>
      <w:r w:rsidRPr="003C4742">
        <w:rPr>
          <w:lang w:val="el-GR"/>
        </w:rPr>
        <w:t>ρόγραμμα Ορίζοντας 2020 της Ευρωπαϊκής Επιτροπής</w:t>
      </w:r>
      <w:r w:rsidR="001B6400">
        <w:rPr>
          <w:lang w:val="el-GR"/>
        </w:rPr>
        <w:t xml:space="preserve"> για έρευνα &amp; καινοτομία</w:t>
      </w:r>
      <w:r w:rsidRPr="003C4742">
        <w:rPr>
          <w:lang w:val="el-GR"/>
        </w:rPr>
        <w:t>, αποτελούν έναν ασφαλή δείκτη ισχυρής εξωστρέφειας των περιφερειών αλλά και έναν εν δυνάμει δείκτη επιστημονικής αριστείας. Η πλειονότητα των συμμετοχών στον Ορίζοντα 2020 την περίοδο 2014-2020 αφορά φορείς από την Περιφέρεια Αττικής (3.221 συμμετοχές), οι οποίοι έλαβαν χρηματοδότηση πάνω από 978 εκατ. ευρώ, περίπου το 60% της συνολικής κοινοτικής χρηματοδότησης στη χώρα. Ακολουθούν η Περιφέρεια Κεντρικής Μακεδονίας με 949 συμμετοχές και 324 εκατ. ευρώ και η Περιφέρεια Κρήτης με 490 συμμετοχές και 171 εκατ. ευρώ.</w:t>
      </w:r>
    </w:p>
    <w:p w:rsidR="003C4742" w:rsidRPr="003C4742" w:rsidRDefault="003C4742" w:rsidP="003C4742">
      <w:pPr>
        <w:spacing w:after="0" w:line="240" w:lineRule="auto"/>
        <w:jc w:val="both"/>
        <w:rPr>
          <w:lang w:val="el-GR"/>
        </w:rPr>
      </w:pPr>
    </w:p>
    <w:p w:rsidR="003C4742" w:rsidRDefault="003C4742" w:rsidP="003C4742">
      <w:pPr>
        <w:spacing w:after="0" w:line="240" w:lineRule="auto"/>
        <w:jc w:val="both"/>
        <w:rPr>
          <w:lang w:val="el-GR"/>
        </w:rPr>
      </w:pPr>
      <w:r w:rsidRPr="003C4742">
        <w:rPr>
          <w:lang w:val="el-GR"/>
        </w:rPr>
        <w:t>Η ερευνητική παραγωγή σε διδακτορικές διατριβές και επιστημονικές δημοσιεύσεις συνδέεται με την επιστημονική εξειδίκευση και την αριστεία των περιφερειών. Ο μεγαλύτερο αριθμός διδακτορικών διατριβών αφορά την Περιφέρεια Αττικής (2.889 την περίοδο 2016-2019) και την Περιφέρεια Κεντρικής Μακεδονίας (1.318 την περίοδο 2016-2019). Όσον αφορά τις επιστημονικές δημοσιεύσεις, την περίοδο 2014-2018, οι δημοσιεύσεις των φορέων της Περιφέρειας Κρήτης επιτυγχάνουν τον υψηλότερο δείκτη απήχησης (10,68), και ακολουθούν οι δημοσιεύσεις της Περιφέρειες Ηπείρου (10,60), Βορείου και Νοτίου Αιγαίου (10,06), Δυτικής Μακεδονίας (9,63), Αττικής (9,41), Κεντρικής Μακεδονίας (8,89), Πελοποννήσου (8,29), Στερεάς Ελλάδας (7,70), Δυτικής Ελλάδας (7,64), Ανατολικής Μακεδονίας και Θράκης (6,47), Θεσσαλίας (6,37), και Ιονίων Νήσων (3,96).</w:t>
      </w:r>
    </w:p>
    <w:p w:rsidR="003C4742" w:rsidRPr="003C4742" w:rsidRDefault="003C4742" w:rsidP="003C4742">
      <w:pPr>
        <w:spacing w:after="0" w:line="240" w:lineRule="auto"/>
        <w:jc w:val="both"/>
        <w:rPr>
          <w:lang w:val="el-GR"/>
        </w:rPr>
      </w:pPr>
    </w:p>
    <w:p w:rsidR="003C4742" w:rsidRPr="003C4742" w:rsidRDefault="003C4742" w:rsidP="003C4742">
      <w:pPr>
        <w:spacing w:after="0" w:line="240" w:lineRule="auto"/>
        <w:jc w:val="both"/>
        <w:rPr>
          <w:lang w:val="el-GR"/>
        </w:rPr>
      </w:pPr>
      <w:r w:rsidRPr="001B6400">
        <w:rPr>
          <w:b/>
          <w:lang w:val="el-GR"/>
        </w:rPr>
        <w:t>Επιχειρηματική καινοτομία:</w:t>
      </w:r>
      <w:r w:rsidRPr="003C4742">
        <w:rPr>
          <w:lang w:val="el-GR"/>
        </w:rPr>
        <w:t xml:space="preserve"> Συνολικά, οι ελληνικές επιχειρήσεις φαίνεται να επιτυγχάνουν αξιόλογες επιδόσεις στον το</w:t>
      </w:r>
      <w:r w:rsidR="007C6B0B">
        <w:rPr>
          <w:lang w:val="el-GR"/>
        </w:rPr>
        <w:t>μ</w:t>
      </w:r>
      <w:r w:rsidRPr="003C4742">
        <w:rPr>
          <w:lang w:val="el-GR"/>
        </w:rPr>
        <w:t>έα της καινοτο</w:t>
      </w:r>
      <w:r w:rsidR="007C6B0B">
        <w:rPr>
          <w:lang w:val="el-GR"/>
        </w:rPr>
        <w:t>μ</w:t>
      </w:r>
      <w:r w:rsidRPr="003C4742">
        <w:rPr>
          <w:lang w:val="el-GR"/>
        </w:rPr>
        <w:t>ίας, καθώς οι επιχειρήσεις σε σχεδόν όλες τις Περιφέρειες, προβαίνουν σε κάποιο τύπο καινοτο</w:t>
      </w:r>
      <w:r w:rsidR="007C6B0B">
        <w:rPr>
          <w:lang w:val="el-GR"/>
        </w:rPr>
        <w:t>μ</w:t>
      </w:r>
      <w:r w:rsidRPr="003C4742">
        <w:rPr>
          <w:lang w:val="el-GR"/>
        </w:rPr>
        <w:t>ίας σε ποσοστό υψηλότερο του 50%. Οι υψηλότερες επιδόσεις –ξεπερνώντας τη μέση εθνική επίδοση- καταγράφονται στην Περιφέρεια Κεντρικής Μακεδονίας (62,6%), στην Περιφέρεια Αττικής (61,6%) και στην Περιφέρεια Κρήτης (60,8%).</w:t>
      </w:r>
    </w:p>
    <w:p w:rsidR="003C4742" w:rsidRPr="003C4742" w:rsidRDefault="003C4742" w:rsidP="003C4742">
      <w:pPr>
        <w:spacing w:after="0" w:line="240" w:lineRule="auto"/>
        <w:jc w:val="both"/>
        <w:rPr>
          <w:lang w:val="el-GR"/>
        </w:rPr>
      </w:pPr>
    </w:p>
    <w:p w:rsidR="003C4742" w:rsidRPr="003C4742" w:rsidRDefault="003C4742" w:rsidP="003C4742">
      <w:pPr>
        <w:spacing w:after="0" w:line="240" w:lineRule="auto"/>
        <w:jc w:val="both"/>
        <w:rPr>
          <w:lang w:val="el-GR"/>
        </w:rPr>
      </w:pPr>
      <w:r w:rsidRPr="003C4742">
        <w:rPr>
          <w:lang w:val="el-GR"/>
        </w:rPr>
        <w:t xml:space="preserve">Η έκδοση "Έρευνα, Ανάπτυξη &amp; Καινοτομία στις Ελληνικές Περιφέρειες – Έκδοση 2021" είναι διαθέσιμη στη διεύθυνση: </w:t>
      </w:r>
      <w:hyperlink r:id="rId8" w:history="1">
        <w:r w:rsidRPr="000A12A1">
          <w:rPr>
            <w:rStyle w:val="-0"/>
            <w:lang w:val="el-GR"/>
          </w:rPr>
          <w:t>https://metrics.ekt.gr/publications/543</w:t>
        </w:r>
      </w:hyperlink>
      <w:r>
        <w:rPr>
          <w:lang w:val="el-GR"/>
        </w:rPr>
        <w:t xml:space="preserve">. </w:t>
      </w:r>
    </w:p>
    <w:p w:rsidR="003C4742" w:rsidRPr="003C4742" w:rsidRDefault="003C4742" w:rsidP="003C4742">
      <w:pPr>
        <w:spacing w:after="0" w:line="240" w:lineRule="auto"/>
        <w:jc w:val="both"/>
        <w:rPr>
          <w:lang w:val="el-GR"/>
        </w:rPr>
      </w:pPr>
    </w:p>
    <w:p w:rsidR="003C4742" w:rsidRDefault="003C4742" w:rsidP="003C4742">
      <w:pPr>
        <w:spacing w:after="0" w:line="240" w:lineRule="auto"/>
        <w:jc w:val="both"/>
        <w:rPr>
          <w:lang w:val="el-GR"/>
        </w:rPr>
      </w:pPr>
      <w:r w:rsidRPr="003C4742">
        <w:rPr>
          <w:lang w:val="el-GR"/>
        </w:rPr>
        <w:t xml:space="preserve">Το ΕΚΤ, είναι η αρμόδια Εθνική Αρχή του Ελληνικού Στατιστικού Συστήματος για τις ευρωπαϊκές στατιστικές για την Έρευνα, Ανάπτυξη και Καινοτομία στην Ελλάδα και τις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 Το ΕΚΤ αποτελεί την πηγή για τα στοιχεία της εθνικής και των αντίστοιχων περιφερειακών στρατηγικών Έξυπνης Εξειδίκευσης RIS3, του </w:t>
      </w:r>
      <w:proofErr w:type="spellStart"/>
      <w:r w:rsidRPr="003C4742">
        <w:rPr>
          <w:lang w:val="el-GR"/>
        </w:rPr>
        <w:t>ΕΠΑνΕΚ</w:t>
      </w:r>
      <w:proofErr w:type="spellEnd"/>
      <w:r w:rsidRPr="003C4742">
        <w:rPr>
          <w:lang w:val="el-GR"/>
        </w:rPr>
        <w:t xml:space="preserve"> και των Περιφερειακών Επιχειρησιακών Προγρα</w:t>
      </w:r>
      <w:r w:rsidR="007C6B0B">
        <w:rPr>
          <w:lang w:val="el-GR"/>
        </w:rPr>
        <w:t>μμ</w:t>
      </w:r>
      <w:r w:rsidRPr="003C4742">
        <w:rPr>
          <w:lang w:val="el-GR"/>
        </w:rPr>
        <w:t xml:space="preserve">άτων, παράγοντας και </w:t>
      </w:r>
      <w:r w:rsidR="007C6B0B" w:rsidRPr="003C4742">
        <w:rPr>
          <w:lang w:val="el-GR"/>
        </w:rPr>
        <w:t>δημοσιεύοντας</w:t>
      </w:r>
      <w:r w:rsidRPr="003C4742">
        <w:rPr>
          <w:lang w:val="el-GR"/>
        </w:rPr>
        <w:t xml:space="preserve"> τους σχετικούς δείκτες </w:t>
      </w:r>
      <w:r w:rsidR="005311F2">
        <w:rPr>
          <w:lang w:val="el-GR"/>
        </w:rPr>
        <w:t xml:space="preserve">στις ιστοσελίδες </w:t>
      </w:r>
      <w:hyperlink r:id="rId9" w:history="1">
        <w:r w:rsidR="00225168" w:rsidRPr="00A1485C">
          <w:rPr>
            <w:rStyle w:val="-0"/>
            <w:lang w:val="el-GR"/>
          </w:rPr>
          <w:t>https://metrics.ekt.gr/ris</w:t>
        </w:r>
      </w:hyperlink>
      <w:r w:rsidR="005311F2">
        <w:rPr>
          <w:lang w:val="el-GR"/>
        </w:rPr>
        <w:t xml:space="preserve"> και </w:t>
      </w:r>
      <w:hyperlink r:id="rId10" w:history="1">
        <w:r w:rsidR="005311F2" w:rsidRPr="00F22ABB">
          <w:rPr>
            <w:rStyle w:val="-0"/>
            <w:lang w:val="el-GR"/>
          </w:rPr>
          <w:t>https://metrics.ekt.gr/regions</w:t>
        </w:r>
      </w:hyperlink>
      <w:r w:rsidRPr="003C4742">
        <w:rPr>
          <w:lang w:val="el-GR"/>
        </w:rPr>
        <w:t xml:space="preserve">. </w:t>
      </w:r>
    </w:p>
    <w:p w:rsidR="003C4742" w:rsidRDefault="003C4742" w:rsidP="003C4742">
      <w:pPr>
        <w:spacing w:after="0" w:line="240" w:lineRule="auto"/>
        <w:jc w:val="both"/>
        <w:rPr>
          <w:lang w:val="el-GR"/>
        </w:rPr>
      </w:pPr>
    </w:p>
    <w:p w:rsidR="006B6A9A" w:rsidRDefault="006B6A9A" w:rsidP="003C4742">
      <w:pPr>
        <w:spacing w:after="0" w:line="240" w:lineRule="auto"/>
        <w:jc w:val="both"/>
        <w:rPr>
          <w:lang w:val="el-GR"/>
        </w:rPr>
      </w:pPr>
      <w:r w:rsidRPr="006B6A9A">
        <w:rPr>
          <w:lang w:val="el-GR"/>
        </w:rPr>
        <w:t xml:space="preserve">Η έκδοση "Έρευνα, Ανάπτυξη &amp; Καινοτομία στις Ελληνικές Περιφέρειες – Έκδοση 2021" </w:t>
      </w:r>
      <w:r>
        <w:rPr>
          <w:lang w:val="el-GR"/>
        </w:rPr>
        <w:t xml:space="preserve">πραγματοποιήθηκε </w:t>
      </w:r>
      <w:r w:rsidRPr="006B6A9A">
        <w:rPr>
          <w:lang w:val="el-GR"/>
        </w:rPr>
        <w:t>στο πλαίσιο του Υποέργου 5 «Παραγωγή δεικτών RIS3 για τα έτη 2016-2023» της Πράξης «Εγκατάσταση Μηχανισμού Παρακολούθησης (</w:t>
      </w:r>
      <w:proofErr w:type="spellStart"/>
      <w:r w:rsidRPr="006B6A9A">
        <w:rPr>
          <w:lang w:val="el-GR"/>
        </w:rPr>
        <w:t>Monitoring</w:t>
      </w:r>
      <w:proofErr w:type="spellEnd"/>
      <w:r w:rsidRPr="006B6A9A">
        <w:rPr>
          <w:lang w:val="el-GR"/>
        </w:rPr>
        <w:t xml:space="preserve"> </w:t>
      </w:r>
      <w:proofErr w:type="spellStart"/>
      <w:r w:rsidRPr="006B6A9A">
        <w:rPr>
          <w:lang w:val="el-GR"/>
        </w:rPr>
        <w:t>Mechanism</w:t>
      </w:r>
      <w:proofErr w:type="spellEnd"/>
      <w:r w:rsidRPr="006B6A9A">
        <w:rPr>
          <w:lang w:val="el-GR"/>
        </w:rPr>
        <w:t>) της υλοποίησης της εθνικής στρατηγικής RIS3-Συλλογή και επεξεργασία Δεικτών», που υλοποιείται από το Εθνικό Κέντρο Τεκμηρίωσης και Ηλεκτρονικού Περιεχομένου,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rsidR="008B4793" w:rsidRDefault="008B4793" w:rsidP="009D0EF3">
      <w:pPr>
        <w:spacing w:before="170"/>
        <w:rPr>
          <w:rFonts w:cstheme="majorHAnsi"/>
          <w:b/>
          <w:color w:val="262626" w:themeColor="text1" w:themeTint="D9"/>
          <w:sz w:val="24"/>
          <w:lang w:val="el-GR"/>
        </w:rPr>
      </w:pPr>
    </w:p>
    <w:p w:rsidR="003C4742" w:rsidRPr="003C4742"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3C4742" w:rsidRPr="003C4742">
        <w:rPr>
          <w:lang w:val="el-GR"/>
        </w:rPr>
        <w:t>"Έρευνα, Ανάπτυξη &amp; Καινοτομία στις Ελληνικές Περιφέρειες - Έκδοση 2021"</w:t>
      </w:r>
      <w:r w:rsidR="003C4742">
        <w:rPr>
          <w:lang w:val="el-GR"/>
        </w:rPr>
        <w:br/>
      </w:r>
      <w:hyperlink r:id="rId11" w:history="1">
        <w:r w:rsidR="003C4742" w:rsidRPr="000A12A1">
          <w:rPr>
            <w:rStyle w:val="-0"/>
          </w:rPr>
          <w:t>https</w:t>
        </w:r>
        <w:r w:rsidR="003C4742" w:rsidRPr="003C4742">
          <w:rPr>
            <w:rStyle w:val="-0"/>
            <w:lang w:val="el-GR"/>
          </w:rPr>
          <w:t>://</w:t>
        </w:r>
        <w:r w:rsidR="003C4742" w:rsidRPr="000A12A1">
          <w:rPr>
            <w:rStyle w:val="-0"/>
          </w:rPr>
          <w:t>metrics</w:t>
        </w:r>
        <w:r w:rsidR="003C4742" w:rsidRPr="003C4742">
          <w:rPr>
            <w:rStyle w:val="-0"/>
            <w:lang w:val="el-GR"/>
          </w:rPr>
          <w:t>.</w:t>
        </w:r>
        <w:proofErr w:type="spellStart"/>
        <w:r w:rsidR="003C4742" w:rsidRPr="000A12A1">
          <w:rPr>
            <w:rStyle w:val="-0"/>
          </w:rPr>
          <w:t>ekt</w:t>
        </w:r>
        <w:proofErr w:type="spellEnd"/>
        <w:r w:rsidR="003C4742" w:rsidRPr="003C4742">
          <w:rPr>
            <w:rStyle w:val="-0"/>
            <w:lang w:val="el-GR"/>
          </w:rPr>
          <w:t>.</w:t>
        </w:r>
        <w:proofErr w:type="spellStart"/>
        <w:r w:rsidR="003C4742" w:rsidRPr="000A12A1">
          <w:rPr>
            <w:rStyle w:val="-0"/>
          </w:rPr>
          <w:t>gr</w:t>
        </w:r>
        <w:proofErr w:type="spellEnd"/>
        <w:r w:rsidR="003C4742" w:rsidRPr="003C4742">
          <w:rPr>
            <w:rStyle w:val="-0"/>
            <w:lang w:val="el-GR"/>
          </w:rPr>
          <w:t>/</w:t>
        </w:r>
        <w:r w:rsidR="003C4742" w:rsidRPr="000A12A1">
          <w:rPr>
            <w:rStyle w:val="-0"/>
          </w:rPr>
          <w:t>publications</w:t>
        </w:r>
        <w:r w:rsidR="003C4742" w:rsidRPr="003C4742">
          <w:rPr>
            <w:rStyle w:val="-0"/>
            <w:lang w:val="el-GR"/>
          </w:rPr>
          <w:t>/543</w:t>
        </w:r>
      </w:hyperlink>
    </w:p>
    <w:p w:rsidR="002B5701" w:rsidRPr="002B5701" w:rsidRDefault="003C4742" w:rsidP="002B5701">
      <w:pPr>
        <w:spacing w:before="170"/>
        <w:rPr>
          <w:lang w:val="el-GR"/>
        </w:rPr>
      </w:pPr>
      <w:proofErr w:type="spellStart"/>
      <w:proofErr w:type="gramStart"/>
      <w:r>
        <w:rPr>
          <w:rFonts w:cstheme="minorHAnsi"/>
        </w:rPr>
        <w:t>metricsEKT</w:t>
      </w:r>
      <w:proofErr w:type="spellEnd"/>
      <w:proofErr w:type="gramEnd"/>
      <w:r w:rsidR="00044A7D" w:rsidRPr="00044A7D">
        <w:rPr>
          <w:rFonts w:cstheme="minorHAnsi"/>
          <w:lang w:val="el-GR"/>
        </w:rPr>
        <w:t xml:space="preserve"> </w:t>
      </w:r>
      <w:r w:rsidR="001E15D2">
        <w:rPr>
          <w:rFonts w:cstheme="minorHAnsi"/>
          <w:lang w:val="el-GR"/>
        </w:rPr>
        <w:t>–</w:t>
      </w:r>
      <w:r w:rsidR="00044A7D" w:rsidRPr="00044A7D">
        <w:rPr>
          <w:rFonts w:cstheme="minorHAnsi"/>
          <w:lang w:val="el-GR"/>
        </w:rPr>
        <w:t xml:space="preserve"> </w:t>
      </w:r>
      <w:r w:rsidRPr="003C4742">
        <w:rPr>
          <w:rFonts w:cstheme="minorHAnsi"/>
          <w:lang w:val="el-GR"/>
        </w:rPr>
        <w:t>Π</w:t>
      </w:r>
      <w:r>
        <w:rPr>
          <w:rFonts w:cstheme="minorHAnsi"/>
          <w:lang w:val="el-GR"/>
        </w:rPr>
        <w:t>εριφερειακοί Δείκτες ΕΤΑΚ</w:t>
      </w:r>
      <w:r w:rsidR="00044A7D">
        <w:rPr>
          <w:rFonts w:cstheme="minorHAnsi"/>
          <w:lang w:val="el-GR"/>
        </w:rPr>
        <w:br/>
      </w:r>
      <w:hyperlink r:id="rId12" w:history="1">
        <w:r w:rsidR="002B5701" w:rsidRPr="000A12A1">
          <w:rPr>
            <w:rStyle w:val="-0"/>
          </w:rPr>
          <w:t>https</w:t>
        </w:r>
        <w:r w:rsidR="002B5701" w:rsidRPr="002B5701">
          <w:rPr>
            <w:rStyle w:val="-0"/>
            <w:lang w:val="el-GR"/>
          </w:rPr>
          <w:t>://</w:t>
        </w:r>
        <w:r w:rsidR="002B5701" w:rsidRPr="000A12A1">
          <w:rPr>
            <w:rStyle w:val="-0"/>
          </w:rPr>
          <w:t>metrics</w:t>
        </w:r>
        <w:r w:rsidR="002B5701" w:rsidRPr="002B5701">
          <w:rPr>
            <w:rStyle w:val="-0"/>
            <w:lang w:val="el-GR"/>
          </w:rPr>
          <w:t>.</w:t>
        </w:r>
        <w:proofErr w:type="spellStart"/>
        <w:r w:rsidR="002B5701" w:rsidRPr="000A12A1">
          <w:rPr>
            <w:rStyle w:val="-0"/>
          </w:rPr>
          <w:t>ekt</w:t>
        </w:r>
        <w:proofErr w:type="spellEnd"/>
        <w:r w:rsidR="002B5701" w:rsidRPr="002B5701">
          <w:rPr>
            <w:rStyle w:val="-0"/>
            <w:lang w:val="el-GR"/>
          </w:rPr>
          <w:t>.</w:t>
        </w:r>
        <w:proofErr w:type="spellStart"/>
        <w:r w:rsidR="002B5701" w:rsidRPr="000A12A1">
          <w:rPr>
            <w:rStyle w:val="-0"/>
          </w:rPr>
          <w:t>gr</w:t>
        </w:r>
        <w:proofErr w:type="spellEnd"/>
        <w:r w:rsidR="002B5701" w:rsidRPr="002B5701">
          <w:rPr>
            <w:rStyle w:val="-0"/>
            <w:lang w:val="el-GR"/>
          </w:rPr>
          <w:t>/</w:t>
        </w:r>
        <w:r w:rsidR="002B5701" w:rsidRPr="000A12A1">
          <w:rPr>
            <w:rStyle w:val="-0"/>
          </w:rPr>
          <w:t>regions</w:t>
        </w:r>
      </w:hyperlink>
    </w:p>
    <w:p w:rsidR="002B5701" w:rsidRPr="002B5701" w:rsidRDefault="00B31E7A" w:rsidP="002B5701">
      <w:pPr>
        <w:spacing w:before="170"/>
        <w:rPr>
          <w:rFonts w:cstheme="minorHAnsi"/>
          <w:lang w:val="el-GR"/>
        </w:rPr>
      </w:pPr>
      <w:proofErr w:type="spellStart"/>
      <w:proofErr w:type="gramStart"/>
      <w:r>
        <w:rPr>
          <w:rFonts w:cstheme="minorHAnsi"/>
        </w:rPr>
        <w:t>metricsEKT</w:t>
      </w:r>
      <w:proofErr w:type="spellEnd"/>
      <w:proofErr w:type="gramEnd"/>
      <w:r w:rsidRPr="00B31E7A">
        <w:rPr>
          <w:rFonts w:cstheme="minorHAnsi"/>
          <w:lang w:val="el-GR"/>
        </w:rPr>
        <w:t xml:space="preserve"> - </w:t>
      </w:r>
      <w:r w:rsidR="002B5701" w:rsidRPr="002B5701">
        <w:rPr>
          <w:rFonts w:cstheme="minorHAnsi"/>
          <w:lang w:val="el-GR"/>
        </w:rPr>
        <w:t>Δείκτες Παρακολούθησης της Στρατηγικής Έξυπνης Εξειδίκευσης</w:t>
      </w:r>
      <w:r w:rsidR="002B5701">
        <w:rPr>
          <w:rFonts w:cstheme="minorHAnsi"/>
          <w:lang w:val="el-GR"/>
        </w:rPr>
        <w:br/>
      </w:r>
      <w:hyperlink r:id="rId13" w:history="1">
        <w:r w:rsidR="002B5701" w:rsidRPr="000A12A1">
          <w:rPr>
            <w:rStyle w:val="-0"/>
            <w:rFonts w:cstheme="minorHAnsi"/>
            <w:lang w:val="el-GR"/>
          </w:rPr>
          <w:t>https://metrics.ekt.gr/ris</w:t>
        </w:r>
      </w:hyperlink>
      <w:r w:rsidR="002B5701" w:rsidRPr="002B5701">
        <w:rPr>
          <w:rFonts w:cstheme="minorHAnsi"/>
          <w:lang w:val="el-GR"/>
        </w:rPr>
        <w:t xml:space="preserve"> </w:t>
      </w:r>
    </w:p>
    <w:p w:rsidR="008B4793" w:rsidRDefault="008B4793">
      <w:pPr>
        <w:spacing w:after="0" w:line="240" w:lineRule="auto"/>
        <w:rPr>
          <w:rFonts w:cstheme="majorHAnsi"/>
          <w:b/>
          <w:color w:val="262626" w:themeColor="text1" w:themeTint="D9"/>
          <w:sz w:val="24"/>
          <w:lang w:val="el-GR"/>
        </w:rPr>
      </w:pPr>
    </w:p>
    <w:p w:rsidR="00E56F92" w:rsidRPr="00E56F92" w:rsidRDefault="009B0DF0">
      <w:pPr>
        <w:spacing w:after="0" w:line="240" w:lineRule="auto"/>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Pr="00D048D9">
        <w:rPr>
          <w:rFonts w:cstheme="majorHAnsi"/>
          <w:color w:val="262626" w:themeColor="text1" w:themeTint="D9"/>
          <w:lang w:val="el-GR"/>
        </w:rP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4">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proofErr w:type="spellStart"/>
        <w:r w:rsidRPr="004F32C4">
          <w:rPr>
            <w:rStyle w:val="InternetLink"/>
            <w:rFonts w:eastAsia="Batang" w:cstheme="majorHAnsi"/>
            <w:lang w:eastAsia="el-GR"/>
          </w:rPr>
          <w:t>gr</w:t>
        </w:r>
        <w:proofErr w:type="spellEnd"/>
      </w:hyperlink>
    </w:p>
    <w:p w:rsidR="00E56F92" w:rsidRDefault="00E56F92">
      <w:pPr>
        <w:spacing w:after="0" w:line="240" w:lineRule="auto"/>
        <w:rPr>
          <w:rStyle w:val="InternetLink"/>
          <w:rFonts w:eastAsia="Batang" w:cstheme="majorHAnsi"/>
          <w:lang w:val="el-GR" w:eastAsia="el-GR"/>
        </w:rPr>
      </w:pPr>
    </w:p>
    <w:p w:rsidR="005A7977" w:rsidRPr="00E56F92" w:rsidRDefault="005A7977">
      <w:pPr>
        <w:spacing w:after="0" w:line="240" w:lineRule="auto"/>
        <w:rPr>
          <w:rStyle w:val="InternetLink"/>
          <w:rFonts w:eastAsia="Batang" w:cstheme="majorHAnsi"/>
          <w:lang w:val="el-GR" w:eastAsia="el-GR"/>
        </w:rPr>
      </w:pPr>
    </w:p>
    <w:p w:rsidR="006B6A9A" w:rsidRDefault="005A7977" w:rsidP="005A7977">
      <w:pPr>
        <w:spacing w:after="0" w:line="240" w:lineRule="auto"/>
        <w:jc w:val="both"/>
        <w:rPr>
          <w:rFonts w:cstheme="majorHAnsi"/>
          <w:b/>
          <w:i/>
          <w:color w:val="262626" w:themeColor="text1" w:themeTint="D9"/>
          <w:sz w:val="24"/>
          <w:lang w:val="el-GR"/>
        </w:rPr>
      </w:pPr>
      <w:bookmarkStart w:id="0" w:name="_GoBack"/>
      <w:r w:rsidRPr="00294AB0">
        <w:rPr>
          <w:rFonts w:ascii="Verdana" w:eastAsia="Batang" w:hAnsi="Verdana"/>
          <w:noProof/>
          <w:sz w:val="18"/>
          <w:szCs w:val="18"/>
          <w:lang w:val="el-GR" w:eastAsia="el-GR"/>
        </w:rPr>
        <w:drawing>
          <wp:inline distT="0" distB="0" distL="0" distR="0">
            <wp:extent cx="4261899" cy="1105825"/>
            <wp:effectExtent l="19050" t="0" r="5301" b="0"/>
            <wp:docPr id="15"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ANEK_ESPA2020_syghrimatodotisi_GREEK"/>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62389" cy="1105952"/>
                    </a:xfrm>
                    <a:prstGeom prst="rect">
                      <a:avLst/>
                    </a:prstGeom>
                    <a:noFill/>
                    <a:ln>
                      <a:noFill/>
                    </a:ln>
                  </pic:spPr>
                </pic:pic>
              </a:graphicData>
            </a:graphic>
          </wp:inline>
        </w:drawing>
      </w:r>
      <w:bookmarkEnd w:id="0"/>
      <w:r w:rsidR="006B6A9A">
        <w:rPr>
          <w:rFonts w:cstheme="majorHAnsi"/>
          <w:b/>
          <w:i/>
          <w:color w:val="262626" w:themeColor="text1" w:themeTint="D9"/>
          <w:sz w:val="24"/>
          <w:lang w:val="el-GR"/>
        </w:rPr>
        <w:br w:type="page"/>
      </w:r>
    </w:p>
    <w:p w:rsidR="00FD009B" w:rsidRPr="008B4793" w:rsidRDefault="0013453F" w:rsidP="004A2D3B">
      <w:pPr>
        <w:spacing w:before="170" w:after="0"/>
        <w:rPr>
          <w:rStyle w:val="af"/>
          <w:rFonts w:cstheme="minorHAnsi"/>
          <w:color w:val="000000"/>
          <w:szCs w:val="21"/>
          <w:shd w:val="clear" w:color="auto" w:fill="FFFFFF"/>
          <w:lang w:val="el-GR"/>
        </w:rPr>
      </w:pPr>
      <w:r>
        <w:rPr>
          <w:rFonts w:cstheme="majorHAnsi"/>
          <w:b/>
          <w:i/>
          <w:color w:val="262626" w:themeColor="text1" w:themeTint="D9"/>
          <w:sz w:val="24"/>
          <w:lang w:val="el-GR"/>
        </w:rPr>
        <w:lastRenderedPageBreak/>
        <w:t xml:space="preserve">Σχετικά με το Εθνικό Κέντρο Τεκμηρίωσης και Ηλεκτρονικού Περιεχομένου </w:t>
      </w:r>
      <w:r w:rsidR="00E56F92">
        <w:rPr>
          <w:rFonts w:cstheme="majorHAnsi"/>
          <w:b/>
          <w:i/>
          <w:color w:val="262626" w:themeColor="text1" w:themeTint="D9"/>
          <w:sz w:val="24"/>
          <w:lang w:val="el-GR"/>
        </w:rPr>
        <w:br/>
      </w:r>
      <w:r w:rsidR="004A2D3B" w:rsidRPr="008B4793">
        <w:rPr>
          <w:rStyle w:val="af"/>
          <w:rFonts w:cstheme="minorHAnsi"/>
          <w:color w:val="000000"/>
          <w:szCs w:val="21"/>
          <w:shd w:val="clear" w:color="auto" w:fill="FFFFFF"/>
          <w:lang w:val="el-GR"/>
        </w:rPr>
        <w:t>Το Εθνικό Κέντρο Τεκμηρίωσης και Ηλεκτρονικού Περιεχομένου (</w:t>
      </w:r>
      <w:r w:rsidR="004A2D3B" w:rsidRPr="008B4793">
        <w:rPr>
          <w:rStyle w:val="af"/>
          <w:rFonts w:cstheme="minorHAnsi"/>
          <w:color w:val="000000"/>
          <w:szCs w:val="21"/>
          <w:shd w:val="clear" w:color="auto" w:fill="FFFFFF"/>
        </w:rPr>
        <w:t>EKT</w:t>
      </w:r>
      <w:r w:rsidR="004A2D3B" w:rsidRPr="008B4793">
        <w:rPr>
          <w:rStyle w:val="af"/>
          <w:rFonts w:cstheme="minorHAnsi"/>
          <w:color w:val="000000"/>
          <w:szCs w:val="21"/>
          <w:shd w:val="clear" w:color="auto" w:fill="FFFFFF"/>
          <w:lang w:val="el-GR"/>
        </w:rPr>
        <w:t>) (</w:t>
      </w:r>
      <w:hyperlink r:id="rId16" w:history="1">
        <w:r w:rsidR="00914547" w:rsidRPr="008B4793">
          <w:rPr>
            <w:rStyle w:val="-0"/>
            <w:rFonts w:cstheme="minorHAnsi"/>
            <w:szCs w:val="21"/>
            <w:shd w:val="clear" w:color="auto" w:fill="FFFFFF"/>
          </w:rPr>
          <w:t>www</w:t>
        </w:r>
        <w:r w:rsidR="00914547" w:rsidRPr="008B4793">
          <w:rPr>
            <w:rStyle w:val="-0"/>
            <w:rFonts w:cstheme="minorHAnsi"/>
            <w:szCs w:val="21"/>
            <w:shd w:val="clear" w:color="auto" w:fill="FFFFFF"/>
            <w:lang w:val="el-GR"/>
          </w:rPr>
          <w:t>.</w:t>
        </w:r>
        <w:proofErr w:type="spellStart"/>
        <w:r w:rsidR="00914547" w:rsidRPr="008B4793">
          <w:rPr>
            <w:rStyle w:val="-0"/>
            <w:rFonts w:cstheme="minorHAnsi"/>
            <w:szCs w:val="21"/>
            <w:shd w:val="clear" w:color="auto" w:fill="FFFFFF"/>
          </w:rPr>
          <w:t>ekt</w:t>
        </w:r>
        <w:proofErr w:type="spellEnd"/>
        <w:r w:rsidR="00914547" w:rsidRPr="008B4793">
          <w:rPr>
            <w:rStyle w:val="-0"/>
            <w:rFonts w:cstheme="minorHAnsi"/>
            <w:szCs w:val="21"/>
            <w:shd w:val="clear" w:color="auto" w:fill="FFFFFF"/>
            <w:lang w:val="el-GR"/>
          </w:rPr>
          <w:t>.</w:t>
        </w:r>
        <w:proofErr w:type="spellStart"/>
        <w:r w:rsidR="00914547" w:rsidRPr="008B4793">
          <w:rPr>
            <w:rStyle w:val="-0"/>
            <w:rFonts w:cstheme="minorHAnsi"/>
            <w:szCs w:val="21"/>
            <w:shd w:val="clear" w:color="auto" w:fill="FFFFFF"/>
          </w:rPr>
          <w:t>gr</w:t>
        </w:r>
        <w:proofErr w:type="spellEnd"/>
      </w:hyperlink>
      <w:r w:rsidR="004A2D3B" w:rsidRPr="008B4793">
        <w:rPr>
          <w:rStyle w:val="af"/>
          <w:rFonts w:cstheme="minorHAnsi"/>
          <w:color w:val="000000"/>
          <w:szCs w:val="21"/>
          <w:shd w:val="clear" w:color="auto" w:fill="FFFFFF"/>
          <w:lang w:val="el-GR"/>
        </w:rPr>
        <w:t>)</w:t>
      </w:r>
      <w:r w:rsidR="00914547" w:rsidRPr="008B4793">
        <w:rPr>
          <w:rStyle w:val="af"/>
          <w:rFonts w:cstheme="minorHAnsi"/>
          <w:color w:val="000000"/>
          <w:szCs w:val="21"/>
          <w:shd w:val="clear" w:color="auto" w:fill="FFFFFF"/>
          <w:lang w:val="el-GR"/>
        </w:rPr>
        <w:t xml:space="preserve">, </w:t>
      </w:r>
      <w:r w:rsidR="004A2D3B" w:rsidRPr="008B4793">
        <w:rPr>
          <w:rStyle w:val="af"/>
          <w:rFonts w:cstheme="minorHAnsi"/>
          <w:color w:val="000000"/>
          <w:szCs w:val="21"/>
          <w:shd w:val="clear" w:color="auto" w:fill="FFFFFF"/>
          <w:lang w:val="el-GR"/>
        </w:rPr>
        <w:t xml:space="preserve">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w:t>
      </w:r>
      <w:r w:rsidR="007C52AC" w:rsidRPr="008B4793">
        <w:rPr>
          <w:rStyle w:val="af"/>
          <w:rFonts w:cstheme="minorHAnsi"/>
          <w:color w:val="000000"/>
          <w:szCs w:val="21"/>
          <w:shd w:val="clear" w:color="auto" w:fill="FFFFFF"/>
          <w:lang w:val="el-GR"/>
        </w:rPr>
        <w:t xml:space="preserve">καθώς </w:t>
      </w:r>
      <w:r w:rsidR="004A2D3B" w:rsidRPr="008B4793">
        <w:rPr>
          <w:rStyle w:val="af"/>
          <w:rFonts w:cstheme="minorHAnsi"/>
          <w:color w:val="000000"/>
          <w:szCs w:val="21"/>
          <w:shd w:val="clear" w:color="auto" w:fill="FFFFFF"/>
          <w:lang w:val="el-GR"/>
        </w:rPr>
        <w:t>και την ψηφιακή διατήρηση της επιστημονικής, τεχνολογικής και πολιτιστικής πληροφορίας, περιεχομένου και δεδομένων,</w:t>
      </w:r>
      <w:r w:rsidR="004A2D3B" w:rsidRPr="008B4793">
        <w:rPr>
          <w:rStyle w:val="af"/>
          <w:rFonts w:cstheme="minorHAnsi"/>
          <w:color w:val="000000"/>
          <w:szCs w:val="21"/>
          <w:shd w:val="clear" w:color="auto" w:fill="FFFFFF"/>
        </w:rPr>
        <w:t> </w:t>
      </w:r>
      <w:r w:rsidR="004A2D3B" w:rsidRPr="008B4793">
        <w:rPr>
          <w:rStyle w:val="af"/>
          <w:rFonts w:cstheme="minorHAnsi"/>
          <w:color w:val="000000"/>
          <w:szCs w:val="21"/>
          <w:shd w:val="clear" w:color="auto" w:fill="FFFFFF"/>
          <w:lang w:val="el-GR"/>
        </w:rPr>
        <w:t xml:space="preserve"> που παράγ</w:t>
      </w:r>
      <w:r w:rsidR="007C52AC" w:rsidRPr="008B4793">
        <w:rPr>
          <w:rStyle w:val="af"/>
          <w:rFonts w:cstheme="minorHAnsi"/>
          <w:color w:val="000000"/>
          <w:szCs w:val="21"/>
          <w:shd w:val="clear" w:color="auto" w:fill="FFFFFF"/>
          <w:lang w:val="el-GR"/>
        </w:rPr>
        <w:t>ον</w:t>
      </w:r>
      <w:r w:rsidR="004A2D3B" w:rsidRPr="008B4793">
        <w:rPr>
          <w:rStyle w:val="af"/>
          <w:rFonts w:cstheme="minorHAnsi"/>
          <w:color w:val="000000"/>
          <w:szCs w:val="21"/>
          <w:shd w:val="clear" w:color="auto" w:fill="FFFFFF"/>
          <w:lang w:val="el-GR"/>
        </w:rPr>
        <w:t>ται στην Ελλάδα. Με σύγχρονες τεχνολογικές υποδομές, υψηλή τεχνογνωσία και προσωπικό υψηλής κατάρτισης και εξειδίκευσης, το ΕΚΤ</w:t>
      </w:r>
      <w:r w:rsidR="00914547" w:rsidRPr="008B4793">
        <w:rPr>
          <w:rStyle w:val="af"/>
          <w:rFonts w:cstheme="minorHAnsi"/>
          <w:color w:val="000000"/>
          <w:szCs w:val="21"/>
          <w:shd w:val="clear" w:color="auto" w:fill="FFFFFF"/>
          <w:lang w:val="el-GR"/>
        </w:rPr>
        <w:t xml:space="preserve">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8B4793">
        <w:rPr>
          <w:rStyle w:val="af"/>
          <w:rFonts w:cstheme="minorHAnsi"/>
          <w:color w:val="000000"/>
          <w:szCs w:val="21"/>
          <w:shd w:val="clear" w:color="auto" w:fill="FFFFFF"/>
          <w:lang w:val="el-GR"/>
        </w:rPr>
        <w:t>:</w:t>
      </w:r>
      <w:r w:rsidR="004A2D3B" w:rsidRPr="008B4793">
        <w:rPr>
          <w:rFonts w:cstheme="minorHAnsi"/>
          <w:i/>
          <w:iCs/>
          <w:color w:val="000000"/>
          <w:szCs w:val="21"/>
          <w:shd w:val="clear" w:color="auto" w:fill="FFFFFF"/>
          <w:lang w:val="el-GR"/>
        </w:rPr>
        <w:br/>
      </w:r>
      <w:r w:rsidR="004A2D3B" w:rsidRPr="008B4793">
        <w:rPr>
          <w:rStyle w:val="af"/>
          <w:rFonts w:cstheme="minorHAnsi"/>
          <w:color w:val="000000"/>
          <w:szCs w:val="21"/>
          <w:shd w:val="clear" w:color="auto" w:fill="FFFFFF"/>
          <w:lang w:val="el-GR"/>
        </w:rPr>
        <w:t xml:space="preserve">• Συλλέγει, τεκμηριώνει και διαθέτει </w:t>
      </w:r>
      <w:r w:rsidR="00D7223F" w:rsidRPr="008B4793">
        <w:rPr>
          <w:rStyle w:val="af"/>
          <w:rFonts w:cstheme="minorHAnsi"/>
          <w:color w:val="000000"/>
          <w:szCs w:val="21"/>
          <w:shd w:val="clear" w:color="auto" w:fill="FFFFFF"/>
          <w:lang w:val="el-GR"/>
        </w:rPr>
        <w:t>για περαιτέρω χρήση</w:t>
      </w:r>
      <w:r w:rsidR="00914547" w:rsidRPr="008B4793">
        <w:rPr>
          <w:rStyle w:val="af"/>
          <w:rFonts w:cstheme="minorHAnsi"/>
          <w:color w:val="000000"/>
          <w:szCs w:val="21"/>
          <w:shd w:val="clear" w:color="auto" w:fill="FFFFFF"/>
          <w:lang w:val="el-GR"/>
        </w:rPr>
        <w:t>,</w:t>
      </w:r>
      <w:r w:rsidR="00D7223F" w:rsidRPr="008B4793">
        <w:rPr>
          <w:rStyle w:val="af"/>
          <w:rFonts w:cstheme="minorHAnsi"/>
          <w:color w:val="000000"/>
          <w:szCs w:val="21"/>
          <w:shd w:val="clear" w:color="auto" w:fill="FFFFFF"/>
          <w:lang w:val="el-GR"/>
        </w:rPr>
        <w:t xml:space="preserve"> </w:t>
      </w:r>
      <w:r w:rsidR="00914547" w:rsidRPr="008B4793">
        <w:rPr>
          <w:rStyle w:val="af"/>
          <w:rFonts w:cstheme="minorHAnsi"/>
          <w:color w:val="000000"/>
          <w:szCs w:val="21"/>
          <w:shd w:val="clear" w:color="auto" w:fill="FFFFFF"/>
          <w:lang w:val="el-GR"/>
        </w:rPr>
        <w:t xml:space="preserve">ως δημόσια δεδομένα, </w:t>
      </w:r>
      <w:r w:rsidR="004A2D3B" w:rsidRPr="008B4793">
        <w:rPr>
          <w:rStyle w:val="af"/>
          <w:rFonts w:cstheme="minorHAnsi"/>
          <w:color w:val="000000"/>
          <w:szCs w:val="21"/>
          <w:shd w:val="clear" w:color="auto" w:fill="FFFFFF"/>
          <w:lang w:val="el-GR"/>
        </w:rPr>
        <w:t>έγκριτο ψηφιακό περιεχόμενο επιστήμης και πολιτισμού.</w:t>
      </w:r>
      <w:r w:rsidR="004A2D3B" w:rsidRPr="008B4793">
        <w:rPr>
          <w:rFonts w:cstheme="minorHAnsi"/>
          <w:i/>
          <w:iCs/>
          <w:color w:val="000000"/>
          <w:szCs w:val="21"/>
          <w:shd w:val="clear" w:color="auto" w:fill="FFFFFF"/>
          <w:lang w:val="el-GR"/>
        </w:rPr>
        <w:br/>
      </w:r>
      <w:r w:rsidR="004A2D3B" w:rsidRPr="008B4793">
        <w:rPr>
          <w:rStyle w:val="af"/>
          <w:rFonts w:cstheme="minorHAnsi"/>
          <w:color w:val="000000"/>
          <w:szCs w:val="21"/>
          <w:shd w:val="clear" w:color="auto" w:fill="FFFFFF"/>
          <w:lang w:val="el-GR"/>
        </w:rPr>
        <w:t xml:space="preserve">• Παράγει </w:t>
      </w:r>
      <w:r w:rsidR="00914547" w:rsidRPr="008B4793">
        <w:rPr>
          <w:rStyle w:val="af"/>
          <w:rFonts w:cstheme="minorHAnsi"/>
          <w:color w:val="000000"/>
          <w:szCs w:val="21"/>
          <w:shd w:val="clear" w:color="auto" w:fill="FFFFFF"/>
          <w:lang w:val="el-GR"/>
        </w:rPr>
        <w:t xml:space="preserve">τα επίσημα στατιστικά στοιχεία της χώρας μας για τις ευρωπαϊκές στατιστικές Έρευνας, Ανάπτυξης και Καινοτομίας. </w:t>
      </w:r>
      <w:r w:rsidR="00C61884" w:rsidRPr="008B4793">
        <w:rPr>
          <w:rStyle w:val="af"/>
          <w:rFonts w:cstheme="minorHAnsi"/>
          <w:color w:val="000000"/>
          <w:szCs w:val="21"/>
          <w:shd w:val="clear" w:color="auto" w:fill="FFFFFF"/>
          <w:lang w:val="el-GR"/>
        </w:rPr>
        <w:t>Διεξάγει έρευνες, σ</w:t>
      </w:r>
      <w:r w:rsidR="00FD009B" w:rsidRPr="008B4793">
        <w:rPr>
          <w:rStyle w:val="af"/>
          <w:rFonts w:cstheme="minorHAnsi"/>
          <w:color w:val="000000"/>
          <w:szCs w:val="21"/>
          <w:shd w:val="clear" w:color="auto" w:fill="FFFFFF"/>
          <w:lang w:val="el-GR"/>
        </w:rPr>
        <w:t xml:space="preserve">υλλέγει στοιχεία και παράγει </w:t>
      </w:r>
      <w:r w:rsidR="00914547" w:rsidRPr="008B4793">
        <w:rPr>
          <w:rStyle w:val="af"/>
          <w:rFonts w:cstheme="minorHAnsi"/>
          <w:color w:val="000000"/>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8B4793">
        <w:rPr>
          <w:rFonts w:cstheme="minorHAnsi"/>
          <w:i/>
          <w:iCs/>
          <w:color w:val="000000"/>
          <w:szCs w:val="21"/>
          <w:shd w:val="clear" w:color="auto" w:fill="FFFFFF"/>
          <w:lang w:val="el-GR"/>
        </w:rPr>
        <w:br/>
      </w:r>
      <w:r w:rsidR="004A2D3B" w:rsidRPr="008B4793">
        <w:rPr>
          <w:rStyle w:val="af"/>
          <w:rFonts w:cstheme="minorHAnsi"/>
          <w:color w:val="000000"/>
          <w:szCs w:val="21"/>
          <w:shd w:val="clear" w:color="auto" w:fill="FFFFFF"/>
          <w:lang w:val="el-GR"/>
        </w:rPr>
        <w:t xml:space="preserve">• </w:t>
      </w:r>
      <w:r w:rsidR="00FD009B" w:rsidRPr="008B4793">
        <w:rPr>
          <w:rStyle w:val="af"/>
          <w:rFonts w:cstheme="minorHAnsi"/>
          <w:color w:val="000000"/>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rsidR="006B6A9A" w:rsidRPr="008B4793" w:rsidRDefault="00FD009B" w:rsidP="00E56F92">
      <w:pPr>
        <w:spacing w:after="0"/>
        <w:rPr>
          <w:rStyle w:val="af"/>
          <w:rFonts w:cstheme="minorHAnsi"/>
          <w:color w:val="000000"/>
          <w:szCs w:val="21"/>
          <w:shd w:val="clear" w:color="auto" w:fill="FFFFFF"/>
          <w:lang w:val="el-GR"/>
        </w:rPr>
      </w:pPr>
      <w:r w:rsidRPr="008B4793">
        <w:rPr>
          <w:rStyle w:val="af"/>
          <w:rFonts w:cstheme="minorHAnsi"/>
          <w:color w:val="000000"/>
          <w:szCs w:val="21"/>
          <w:shd w:val="clear" w:color="auto" w:fill="FFFFFF"/>
          <w:lang w:val="el-GR"/>
        </w:rPr>
        <w:t xml:space="preserve">• </w:t>
      </w:r>
      <w:r w:rsidR="004A2D3B" w:rsidRPr="008B4793">
        <w:rPr>
          <w:rStyle w:val="af"/>
          <w:rFonts w:cstheme="minorHAnsi"/>
          <w:color w:val="000000"/>
          <w:szCs w:val="21"/>
          <w:shd w:val="clear" w:color="auto" w:fill="FFFFFF"/>
          <w:lang w:val="el-GR"/>
        </w:rPr>
        <w:t xml:space="preserve">Υποστηρίζει τις επιχειρήσεις </w:t>
      </w:r>
      <w:r w:rsidR="007C52AC" w:rsidRPr="008B4793">
        <w:rPr>
          <w:rStyle w:val="af"/>
          <w:rFonts w:cstheme="minorHAnsi"/>
          <w:color w:val="000000"/>
          <w:szCs w:val="21"/>
          <w:shd w:val="clear" w:color="auto" w:fill="FFFFFF"/>
          <w:lang w:val="el-GR"/>
        </w:rPr>
        <w:t xml:space="preserve">ώστε </w:t>
      </w:r>
      <w:r w:rsidR="004A2D3B" w:rsidRPr="008B4793">
        <w:rPr>
          <w:rStyle w:val="af"/>
          <w:rFonts w:cstheme="minorHAnsi"/>
          <w:color w:val="000000"/>
          <w:szCs w:val="21"/>
          <w:shd w:val="clear" w:color="auto" w:fill="FFFFFF"/>
          <w:lang w:val="el-GR"/>
        </w:rPr>
        <w:t>να δικτυωθούν, να γίνουν εξωστρεφείς και να συνεργαστούν με την ερευνητική κοινότητα</w:t>
      </w:r>
      <w:r w:rsidR="005664E1" w:rsidRPr="008B4793">
        <w:rPr>
          <w:rStyle w:val="af"/>
          <w:rFonts w:cstheme="minorHAnsi"/>
          <w:color w:val="000000"/>
          <w:szCs w:val="21"/>
          <w:shd w:val="clear" w:color="auto" w:fill="FFFFFF"/>
          <w:lang w:val="el-GR"/>
        </w:rPr>
        <w:t>.</w:t>
      </w:r>
    </w:p>
    <w:p w:rsidR="006B6A9A" w:rsidRPr="008B4793" w:rsidRDefault="006B6A9A" w:rsidP="00E56F92">
      <w:pPr>
        <w:spacing w:after="0"/>
        <w:rPr>
          <w:rStyle w:val="af"/>
          <w:rFonts w:cstheme="minorHAnsi"/>
          <w:color w:val="000000"/>
          <w:sz w:val="20"/>
          <w:szCs w:val="21"/>
          <w:shd w:val="clear" w:color="auto" w:fill="FFFFFF"/>
          <w:lang w:val="el-GR"/>
        </w:rPr>
      </w:pPr>
    </w:p>
    <w:p w:rsidR="006B6A9A" w:rsidRPr="008B4793" w:rsidRDefault="006B6A9A" w:rsidP="00E56F92">
      <w:pPr>
        <w:spacing w:after="0"/>
        <w:rPr>
          <w:rStyle w:val="af"/>
          <w:rFonts w:cstheme="minorHAnsi"/>
          <w:color w:val="000000"/>
          <w:sz w:val="20"/>
          <w:szCs w:val="21"/>
          <w:shd w:val="clear" w:color="auto" w:fill="FFFFFF"/>
          <w:lang w:val="el-GR"/>
        </w:rPr>
      </w:pPr>
    </w:p>
    <w:p w:rsidR="00C62396" w:rsidRPr="00E56F92" w:rsidRDefault="00C62396" w:rsidP="00E56F92">
      <w:pPr>
        <w:spacing w:after="0"/>
        <w:rPr>
          <w:b/>
          <w:sz w:val="24"/>
          <w:lang w:val="el-GR"/>
        </w:rPr>
      </w:pPr>
      <w:r w:rsidRPr="00E56F92">
        <w:rPr>
          <w:b/>
          <w:sz w:val="24"/>
          <w:lang w:val="el-GR"/>
        </w:rPr>
        <w:br w:type="page"/>
      </w:r>
    </w:p>
    <w:p w:rsidR="007C6B0B" w:rsidRDefault="00F7131D" w:rsidP="007C6B0B">
      <w:pPr>
        <w:spacing w:after="0"/>
        <w:rPr>
          <w:b/>
          <w:sz w:val="28"/>
          <w:lang w:val="el-GR"/>
        </w:rPr>
      </w:pPr>
      <w:r>
        <w:rPr>
          <w:b/>
          <w:sz w:val="28"/>
          <w:lang w:val="el-GR"/>
        </w:rPr>
        <w:lastRenderedPageBreak/>
        <w:t>Επιλεγμένα δ</w:t>
      </w:r>
      <w:r w:rsidR="002C0EAE" w:rsidRPr="008F102D">
        <w:rPr>
          <w:b/>
          <w:sz w:val="28"/>
          <w:lang w:val="el-GR"/>
        </w:rPr>
        <w:t>ιαγράμματα</w:t>
      </w:r>
      <w:r w:rsidR="007C6B0B">
        <w:rPr>
          <w:b/>
          <w:sz w:val="28"/>
          <w:lang w:val="el-GR"/>
        </w:rPr>
        <w:t xml:space="preserve"> της έκδοσης του ΕΚΤ </w:t>
      </w:r>
      <w:r w:rsidR="007C6B0B">
        <w:rPr>
          <w:b/>
          <w:sz w:val="28"/>
          <w:lang w:val="el-GR"/>
        </w:rPr>
        <w:br/>
      </w:r>
      <w:r w:rsidR="007C6B0B" w:rsidRPr="007C6B0B">
        <w:rPr>
          <w:b/>
          <w:sz w:val="28"/>
          <w:lang w:val="el-GR"/>
        </w:rPr>
        <w:t>"Έρευνα, Ανάπτυξη &amp; Καινοτομία στις Ελληνικές Περιφέρειες - Έκδοση 2021"</w:t>
      </w:r>
    </w:p>
    <w:p w:rsidR="004A1D94" w:rsidRPr="006F356C" w:rsidRDefault="004A1D94" w:rsidP="007C6B0B">
      <w:pPr>
        <w:spacing w:after="0"/>
        <w:rPr>
          <w:b/>
          <w:sz w:val="28"/>
          <w:lang w:val="el-GR"/>
        </w:rPr>
      </w:pPr>
    </w:p>
    <w:p w:rsidR="000C176C" w:rsidRPr="000C176C" w:rsidRDefault="000C176C" w:rsidP="007C6B0B">
      <w:pPr>
        <w:spacing w:after="0"/>
        <w:rPr>
          <w:b/>
          <w:sz w:val="28"/>
        </w:rPr>
      </w:pPr>
      <w:r>
        <w:rPr>
          <w:b/>
          <w:noProof/>
          <w:sz w:val="28"/>
          <w:lang w:val="el-GR" w:eastAsia="el-GR"/>
        </w:rPr>
        <w:drawing>
          <wp:inline distT="0" distB="0" distL="0" distR="0">
            <wp:extent cx="5943600" cy="4750435"/>
            <wp:effectExtent l="19050" t="0" r="0" b="0"/>
            <wp:docPr id="1" name="0 - Εικόνα" descr="Figure1_RDIGreekRe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_RDIGreekRegions.jpg"/>
                    <pic:cNvPicPr/>
                  </pic:nvPicPr>
                  <pic:blipFill>
                    <a:blip r:embed="rId17" cstate="print"/>
                    <a:stretch>
                      <a:fillRect/>
                    </a:stretch>
                  </pic:blipFill>
                  <pic:spPr>
                    <a:xfrm>
                      <a:off x="0" y="0"/>
                      <a:ext cx="5943600" cy="4750435"/>
                    </a:xfrm>
                    <a:prstGeom prst="rect">
                      <a:avLst/>
                    </a:prstGeom>
                  </pic:spPr>
                </pic:pic>
              </a:graphicData>
            </a:graphic>
          </wp:inline>
        </w:drawing>
      </w:r>
    </w:p>
    <w:p w:rsidR="004A1D94" w:rsidRDefault="004A1D94" w:rsidP="004A1D94">
      <w:pPr>
        <w:shd w:val="clear" w:color="auto" w:fill="FFFFFF"/>
        <w:spacing w:after="0" w:line="300" w:lineRule="atLeast"/>
        <w:rPr>
          <w:rFonts w:ascii="Arial" w:eastAsia="Times New Roman" w:hAnsi="Arial" w:cs="Arial"/>
          <w:color w:val="000000"/>
          <w:sz w:val="21"/>
          <w:szCs w:val="21"/>
          <w:lang w:val="el-GR"/>
        </w:rPr>
      </w:pPr>
    </w:p>
    <w:p w:rsidR="00DC28CC" w:rsidRDefault="00DC28CC">
      <w:pPr>
        <w:spacing w:after="0" w:line="240" w:lineRule="auto"/>
        <w:rPr>
          <w:rFonts w:ascii="Arial" w:hAnsi="Arial" w:cs="Arial"/>
          <w:b/>
          <w:sz w:val="21"/>
          <w:szCs w:val="21"/>
          <w:lang w:val="el-GR"/>
        </w:rPr>
      </w:pPr>
      <w:r>
        <w:rPr>
          <w:rFonts w:ascii="Arial" w:hAnsi="Arial" w:cs="Arial"/>
          <w:b/>
          <w:sz w:val="21"/>
          <w:szCs w:val="21"/>
          <w:lang w:val="el-GR"/>
        </w:rPr>
        <w:br w:type="page"/>
      </w:r>
    </w:p>
    <w:p w:rsidR="00DC28CC" w:rsidRPr="00772268" w:rsidRDefault="000C176C" w:rsidP="000C176C">
      <w:pPr>
        <w:shd w:val="clear" w:color="auto" w:fill="FFFFFF"/>
        <w:spacing w:after="0" w:line="300" w:lineRule="atLeast"/>
        <w:rPr>
          <w:rFonts w:eastAsia="Times New Roman" w:cstheme="minorHAnsi"/>
          <w:color w:val="000000" w:themeColor="text1"/>
          <w:spacing w:val="12"/>
          <w:szCs w:val="26"/>
          <w:lang w:val="el-GR"/>
        </w:rPr>
      </w:pPr>
      <w:r>
        <w:rPr>
          <w:rFonts w:eastAsia="Times New Roman" w:cstheme="minorHAnsi"/>
          <w:noProof/>
          <w:color w:val="000000" w:themeColor="text1"/>
          <w:spacing w:val="12"/>
          <w:sz w:val="26"/>
          <w:szCs w:val="26"/>
          <w:lang w:val="el-GR" w:eastAsia="el-GR"/>
        </w:rPr>
        <w:lastRenderedPageBreak/>
        <w:drawing>
          <wp:inline distT="0" distB="0" distL="0" distR="0">
            <wp:extent cx="5943600" cy="4262755"/>
            <wp:effectExtent l="19050" t="0" r="0" b="0"/>
            <wp:docPr id="3" name="2 - Εικόνα" descr="Figure2_RDIGreekRe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RDIGreekRegions.jpg"/>
                    <pic:cNvPicPr/>
                  </pic:nvPicPr>
                  <pic:blipFill>
                    <a:blip r:embed="rId18" cstate="print"/>
                    <a:stretch>
                      <a:fillRect/>
                    </a:stretch>
                  </pic:blipFill>
                  <pic:spPr>
                    <a:xfrm>
                      <a:off x="0" y="0"/>
                      <a:ext cx="5943600" cy="4262755"/>
                    </a:xfrm>
                    <a:prstGeom prst="rect">
                      <a:avLst/>
                    </a:prstGeom>
                  </pic:spPr>
                </pic:pic>
              </a:graphicData>
            </a:graphic>
          </wp:inline>
        </w:drawing>
      </w:r>
    </w:p>
    <w:p w:rsidR="00DC28CC" w:rsidRDefault="00DC28CC" w:rsidP="004A1D94">
      <w:pPr>
        <w:shd w:val="clear" w:color="auto" w:fill="FFFFFF"/>
        <w:spacing w:after="0" w:line="300" w:lineRule="atLeast"/>
        <w:rPr>
          <w:rFonts w:ascii="Arial" w:hAnsi="Arial" w:cs="Arial"/>
          <w:b/>
          <w:sz w:val="21"/>
          <w:szCs w:val="21"/>
          <w:lang w:val="el-GR"/>
        </w:rPr>
      </w:pPr>
    </w:p>
    <w:p w:rsidR="00103745" w:rsidRPr="00772268" w:rsidRDefault="00103745" w:rsidP="004A1D94">
      <w:pPr>
        <w:shd w:val="clear" w:color="auto" w:fill="FFFFFF"/>
        <w:spacing w:after="0" w:line="300" w:lineRule="atLeast"/>
        <w:rPr>
          <w:rFonts w:ascii="Arial" w:hAnsi="Arial" w:cs="Arial"/>
          <w:b/>
          <w:sz w:val="21"/>
          <w:szCs w:val="21"/>
        </w:rPr>
      </w:pPr>
    </w:p>
    <w:p w:rsidR="00103745" w:rsidRDefault="00103745" w:rsidP="004A1D94">
      <w:pPr>
        <w:shd w:val="clear" w:color="auto" w:fill="FFFFFF"/>
        <w:spacing w:after="0" w:line="300" w:lineRule="atLeast"/>
        <w:rPr>
          <w:rFonts w:ascii="Arial" w:hAnsi="Arial" w:cs="Arial"/>
          <w:b/>
          <w:sz w:val="21"/>
          <w:szCs w:val="21"/>
          <w:lang w:val="el-GR"/>
        </w:rPr>
      </w:pPr>
    </w:p>
    <w:p w:rsidR="00103745" w:rsidRDefault="00103745" w:rsidP="004A1D94">
      <w:pPr>
        <w:shd w:val="clear" w:color="auto" w:fill="FFFFFF"/>
        <w:spacing w:after="0" w:line="300" w:lineRule="atLeast"/>
        <w:rPr>
          <w:rFonts w:ascii="Arial" w:hAnsi="Arial" w:cs="Arial"/>
          <w:b/>
          <w:sz w:val="21"/>
          <w:szCs w:val="21"/>
          <w:lang w:val="el-GR"/>
        </w:rPr>
      </w:pPr>
    </w:p>
    <w:p w:rsidR="00103745" w:rsidRDefault="00103745" w:rsidP="004A1D94">
      <w:pPr>
        <w:shd w:val="clear" w:color="auto" w:fill="FFFFFF"/>
        <w:spacing w:after="0" w:line="300" w:lineRule="atLeast"/>
        <w:rPr>
          <w:rFonts w:ascii="Arial" w:hAnsi="Arial" w:cs="Arial"/>
          <w:b/>
          <w:sz w:val="21"/>
          <w:szCs w:val="21"/>
          <w:lang w:val="el-GR"/>
        </w:rPr>
      </w:pPr>
    </w:p>
    <w:p w:rsidR="00103745" w:rsidRDefault="00103745" w:rsidP="004A1D94">
      <w:pPr>
        <w:shd w:val="clear" w:color="auto" w:fill="FFFFFF"/>
        <w:spacing w:after="0" w:line="300" w:lineRule="atLeast"/>
        <w:rPr>
          <w:rFonts w:ascii="Arial" w:hAnsi="Arial" w:cs="Arial"/>
          <w:b/>
          <w:sz w:val="21"/>
          <w:szCs w:val="21"/>
          <w:lang w:val="el-GR"/>
        </w:rPr>
      </w:pPr>
    </w:p>
    <w:p w:rsidR="00103745" w:rsidRDefault="00103745" w:rsidP="004A1D94">
      <w:pPr>
        <w:shd w:val="clear" w:color="auto" w:fill="FFFFFF"/>
        <w:spacing w:after="0" w:line="300" w:lineRule="atLeast"/>
        <w:rPr>
          <w:rFonts w:ascii="Arial" w:hAnsi="Arial" w:cs="Arial"/>
          <w:b/>
          <w:sz w:val="21"/>
          <w:szCs w:val="21"/>
          <w:lang w:val="el-GR"/>
        </w:rPr>
      </w:pPr>
    </w:p>
    <w:p w:rsidR="00103745" w:rsidRDefault="00103745" w:rsidP="004A1D94">
      <w:pPr>
        <w:shd w:val="clear" w:color="auto" w:fill="FFFFFF"/>
        <w:spacing w:after="0" w:line="300" w:lineRule="atLeast"/>
        <w:rPr>
          <w:rFonts w:ascii="Arial" w:hAnsi="Arial" w:cs="Arial"/>
          <w:sz w:val="21"/>
          <w:szCs w:val="21"/>
          <w:lang w:val="el-GR"/>
        </w:rPr>
      </w:pPr>
    </w:p>
    <w:p w:rsidR="00103745" w:rsidRDefault="00103745" w:rsidP="004A1D94">
      <w:pPr>
        <w:shd w:val="clear" w:color="auto" w:fill="FFFFFF"/>
        <w:spacing w:after="0" w:line="300" w:lineRule="atLeast"/>
        <w:rPr>
          <w:rFonts w:ascii="Arial" w:hAnsi="Arial" w:cs="Arial"/>
          <w:sz w:val="21"/>
          <w:szCs w:val="21"/>
          <w:lang w:val="el-GR"/>
        </w:rPr>
      </w:pPr>
    </w:p>
    <w:p w:rsidR="00103745" w:rsidRDefault="00103745" w:rsidP="004A1D94">
      <w:pPr>
        <w:shd w:val="clear" w:color="auto" w:fill="FFFFFF"/>
        <w:spacing w:after="0" w:line="300" w:lineRule="atLeast"/>
        <w:rPr>
          <w:rFonts w:ascii="Arial" w:hAnsi="Arial" w:cs="Arial"/>
          <w:sz w:val="21"/>
          <w:szCs w:val="21"/>
          <w:lang w:val="el-GR"/>
        </w:rPr>
      </w:pPr>
    </w:p>
    <w:p w:rsidR="00103745" w:rsidRDefault="00103745" w:rsidP="004A1D94">
      <w:pPr>
        <w:shd w:val="clear" w:color="auto" w:fill="FFFFFF"/>
        <w:spacing w:after="0" w:line="300" w:lineRule="atLeast"/>
        <w:rPr>
          <w:rFonts w:ascii="Arial" w:hAnsi="Arial" w:cs="Arial"/>
          <w:sz w:val="21"/>
          <w:szCs w:val="21"/>
          <w:lang w:val="el-GR"/>
        </w:rPr>
      </w:pPr>
    </w:p>
    <w:p w:rsidR="00772268" w:rsidRDefault="00772268">
      <w:pPr>
        <w:spacing w:after="0" w:line="240" w:lineRule="auto"/>
        <w:rPr>
          <w:rFonts w:eastAsia="Times New Roman" w:cstheme="minorHAnsi"/>
          <w:color w:val="000000" w:themeColor="text1"/>
          <w:spacing w:val="12"/>
          <w:sz w:val="26"/>
          <w:szCs w:val="26"/>
          <w:lang w:val="el-GR"/>
        </w:rPr>
      </w:pPr>
      <w:r>
        <w:rPr>
          <w:rFonts w:eastAsia="Times New Roman" w:cstheme="minorHAnsi"/>
          <w:color w:val="000000" w:themeColor="text1"/>
          <w:spacing w:val="12"/>
          <w:sz w:val="26"/>
          <w:szCs w:val="26"/>
          <w:lang w:val="el-GR"/>
        </w:rPr>
        <w:br w:type="page"/>
      </w:r>
    </w:p>
    <w:p w:rsidR="004A1D94" w:rsidRDefault="000C176C" w:rsidP="004A1D94">
      <w:pPr>
        <w:shd w:val="clear" w:color="auto" w:fill="FFFFFF"/>
        <w:spacing w:after="0" w:line="300" w:lineRule="atLeast"/>
        <w:rPr>
          <w:rFonts w:ascii="Arial" w:hAnsi="Arial" w:cs="Arial"/>
          <w:b/>
          <w:sz w:val="21"/>
          <w:szCs w:val="21"/>
          <w:lang w:val="el-GR"/>
        </w:rPr>
      </w:pPr>
      <w:r>
        <w:rPr>
          <w:rFonts w:ascii="Arial" w:hAnsi="Arial" w:cs="Arial"/>
          <w:b/>
          <w:noProof/>
          <w:sz w:val="21"/>
          <w:szCs w:val="21"/>
          <w:lang w:val="el-GR" w:eastAsia="el-GR"/>
        </w:rPr>
        <w:lastRenderedPageBreak/>
        <w:drawing>
          <wp:inline distT="0" distB="0" distL="0" distR="0">
            <wp:extent cx="5943600" cy="4141470"/>
            <wp:effectExtent l="19050" t="0" r="0" b="0"/>
            <wp:docPr id="4" name="3 - Εικόνα" descr="Figure3_RDIGreekRe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_RDIGreekRegions.jpg"/>
                    <pic:cNvPicPr/>
                  </pic:nvPicPr>
                  <pic:blipFill>
                    <a:blip r:embed="rId19" cstate="print"/>
                    <a:stretch>
                      <a:fillRect/>
                    </a:stretch>
                  </pic:blipFill>
                  <pic:spPr>
                    <a:xfrm>
                      <a:off x="0" y="0"/>
                      <a:ext cx="5943600" cy="4141470"/>
                    </a:xfrm>
                    <a:prstGeom prst="rect">
                      <a:avLst/>
                    </a:prstGeom>
                  </pic:spPr>
                </pic:pic>
              </a:graphicData>
            </a:graphic>
          </wp:inline>
        </w:drawing>
      </w:r>
    </w:p>
    <w:p w:rsidR="004A1D94" w:rsidRDefault="004A1D94" w:rsidP="004A1D94">
      <w:pPr>
        <w:shd w:val="clear" w:color="auto" w:fill="FFFFFF"/>
        <w:spacing w:after="0" w:line="300" w:lineRule="atLeast"/>
        <w:jc w:val="both"/>
        <w:rPr>
          <w:rFonts w:ascii="Arial" w:hAnsi="Arial" w:cs="Arial"/>
          <w:b/>
          <w:sz w:val="21"/>
          <w:szCs w:val="21"/>
        </w:rPr>
      </w:pPr>
    </w:p>
    <w:p w:rsidR="000C176C" w:rsidRPr="000C176C" w:rsidRDefault="000C176C" w:rsidP="004A1D94">
      <w:pPr>
        <w:shd w:val="clear" w:color="auto" w:fill="FFFFFF"/>
        <w:spacing w:after="0" w:line="300" w:lineRule="atLeast"/>
        <w:jc w:val="both"/>
        <w:rPr>
          <w:rFonts w:ascii="Arial" w:hAnsi="Arial" w:cs="Arial"/>
          <w:b/>
          <w:sz w:val="21"/>
          <w:szCs w:val="21"/>
        </w:rPr>
      </w:pPr>
      <w:r>
        <w:rPr>
          <w:rFonts w:ascii="Arial" w:hAnsi="Arial" w:cs="Arial"/>
          <w:b/>
          <w:noProof/>
          <w:sz w:val="21"/>
          <w:szCs w:val="21"/>
          <w:lang w:val="el-GR" w:eastAsia="el-GR"/>
        </w:rPr>
        <w:drawing>
          <wp:inline distT="0" distB="0" distL="0" distR="0">
            <wp:extent cx="5943600" cy="3482340"/>
            <wp:effectExtent l="19050" t="0" r="0" b="0"/>
            <wp:docPr id="7" name="6 - Εικόνα" descr="Figure4_RDIGreekRe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_RDIGreekRegions.jpg"/>
                    <pic:cNvPicPr/>
                  </pic:nvPicPr>
                  <pic:blipFill>
                    <a:blip r:embed="rId20" cstate="print"/>
                    <a:stretch>
                      <a:fillRect/>
                    </a:stretch>
                  </pic:blipFill>
                  <pic:spPr>
                    <a:xfrm>
                      <a:off x="0" y="0"/>
                      <a:ext cx="5943600" cy="3482340"/>
                    </a:xfrm>
                    <a:prstGeom prst="rect">
                      <a:avLst/>
                    </a:prstGeom>
                  </pic:spPr>
                </pic:pic>
              </a:graphicData>
            </a:graphic>
          </wp:inline>
        </w:drawing>
      </w:r>
    </w:p>
    <w:p w:rsidR="00103745" w:rsidRDefault="000C176C" w:rsidP="004A1D94">
      <w:pPr>
        <w:shd w:val="clear" w:color="auto" w:fill="FFFFFF"/>
        <w:spacing w:after="0" w:line="300" w:lineRule="atLeast"/>
        <w:jc w:val="both"/>
        <w:rPr>
          <w:rFonts w:ascii="Arial" w:hAnsi="Arial" w:cs="Arial"/>
          <w:sz w:val="21"/>
          <w:szCs w:val="21"/>
          <w:lang w:val="el-GR"/>
        </w:rPr>
      </w:pPr>
      <w:r>
        <w:rPr>
          <w:rFonts w:ascii="Arial" w:hAnsi="Arial" w:cs="Arial"/>
          <w:noProof/>
          <w:sz w:val="21"/>
          <w:szCs w:val="21"/>
          <w:lang w:val="el-GR" w:eastAsia="el-GR"/>
        </w:rPr>
        <w:lastRenderedPageBreak/>
        <w:drawing>
          <wp:inline distT="0" distB="0" distL="0" distR="0">
            <wp:extent cx="5943600" cy="4418330"/>
            <wp:effectExtent l="19050" t="0" r="0" b="0"/>
            <wp:docPr id="8" name="7 - Εικόνα" descr="Figure5_RDIGreekRe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_RDIGreekRegions.jpg"/>
                    <pic:cNvPicPr/>
                  </pic:nvPicPr>
                  <pic:blipFill>
                    <a:blip r:embed="rId21" cstate="print"/>
                    <a:stretch>
                      <a:fillRect/>
                    </a:stretch>
                  </pic:blipFill>
                  <pic:spPr>
                    <a:xfrm>
                      <a:off x="0" y="0"/>
                      <a:ext cx="5943600" cy="4418330"/>
                    </a:xfrm>
                    <a:prstGeom prst="rect">
                      <a:avLst/>
                    </a:prstGeom>
                  </pic:spPr>
                </pic:pic>
              </a:graphicData>
            </a:graphic>
          </wp:inline>
        </w:drawing>
      </w:r>
    </w:p>
    <w:p w:rsidR="00B84192" w:rsidRDefault="00B84192">
      <w:pPr>
        <w:spacing w:after="0" w:line="240" w:lineRule="auto"/>
        <w:rPr>
          <w:rFonts w:eastAsia="Times New Roman" w:cstheme="minorHAnsi"/>
          <w:color w:val="000000" w:themeColor="text1"/>
          <w:spacing w:val="12"/>
          <w:sz w:val="26"/>
          <w:szCs w:val="26"/>
          <w:lang w:val="el-GR"/>
        </w:rPr>
      </w:pPr>
      <w:r>
        <w:rPr>
          <w:rFonts w:eastAsia="Times New Roman" w:cstheme="minorHAnsi"/>
          <w:color w:val="000000" w:themeColor="text1"/>
          <w:spacing w:val="12"/>
          <w:sz w:val="26"/>
          <w:szCs w:val="26"/>
          <w:lang w:val="el-GR"/>
        </w:rPr>
        <w:br w:type="page"/>
      </w:r>
    </w:p>
    <w:p w:rsidR="004A1D94" w:rsidRPr="009D5562" w:rsidRDefault="000C176C" w:rsidP="004A1D94">
      <w:pPr>
        <w:shd w:val="clear" w:color="auto" w:fill="FFFFFF"/>
        <w:spacing w:after="0" w:line="276" w:lineRule="auto"/>
        <w:jc w:val="both"/>
        <w:rPr>
          <w:rFonts w:ascii="Arial" w:eastAsia="Times New Roman" w:hAnsi="Arial" w:cs="Arial"/>
          <w:color w:val="000000"/>
          <w:sz w:val="20"/>
          <w:szCs w:val="21"/>
          <w:lang w:val="el-GR"/>
        </w:rPr>
      </w:pPr>
      <w:r>
        <w:rPr>
          <w:rFonts w:ascii="Arial" w:eastAsia="Times New Roman" w:hAnsi="Arial" w:cs="Arial"/>
          <w:noProof/>
          <w:color w:val="000000"/>
          <w:sz w:val="20"/>
          <w:szCs w:val="21"/>
          <w:lang w:val="el-GR" w:eastAsia="el-GR"/>
        </w:rPr>
        <w:lastRenderedPageBreak/>
        <w:drawing>
          <wp:inline distT="0" distB="0" distL="0" distR="0">
            <wp:extent cx="5943600" cy="4169410"/>
            <wp:effectExtent l="19050" t="0" r="0" b="0"/>
            <wp:docPr id="9" name="8 - Εικόνα" descr="Figure6_RDIGreekRe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6_RDIGreekRegions.jpg"/>
                    <pic:cNvPicPr/>
                  </pic:nvPicPr>
                  <pic:blipFill>
                    <a:blip r:embed="rId22" cstate="print"/>
                    <a:stretch>
                      <a:fillRect/>
                    </a:stretch>
                  </pic:blipFill>
                  <pic:spPr>
                    <a:xfrm>
                      <a:off x="0" y="0"/>
                      <a:ext cx="5943600" cy="4169410"/>
                    </a:xfrm>
                    <a:prstGeom prst="rect">
                      <a:avLst/>
                    </a:prstGeom>
                  </pic:spPr>
                </pic:pic>
              </a:graphicData>
            </a:graphic>
          </wp:inline>
        </w:drawing>
      </w:r>
    </w:p>
    <w:p w:rsidR="004A1D94" w:rsidRDefault="004A1D94" w:rsidP="004A1D94">
      <w:pPr>
        <w:shd w:val="clear" w:color="auto" w:fill="FFFFFF"/>
        <w:spacing w:after="0" w:line="300" w:lineRule="atLeast"/>
        <w:jc w:val="both"/>
        <w:rPr>
          <w:rFonts w:ascii="Arial" w:eastAsia="Times New Roman" w:hAnsi="Arial" w:cs="Arial"/>
          <w:color w:val="000000"/>
          <w:sz w:val="21"/>
          <w:szCs w:val="21"/>
          <w:lang w:val="el-GR"/>
        </w:rPr>
      </w:pPr>
    </w:p>
    <w:p w:rsidR="004A1D94" w:rsidRPr="00103745" w:rsidRDefault="004A1D94" w:rsidP="007C6B0B">
      <w:pPr>
        <w:spacing w:after="0"/>
        <w:rPr>
          <w:b/>
          <w:sz w:val="28"/>
          <w:lang w:val="el-GR"/>
        </w:rPr>
      </w:pPr>
    </w:p>
    <w:sectPr w:rsidR="004A1D94" w:rsidRPr="00103745" w:rsidSect="002E1873">
      <w:headerReference w:type="even" r:id="rId23"/>
      <w:headerReference w:type="default" r:id="rId24"/>
      <w:footerReference w:type="even" r:id="rId25"/>
      <w:footerReference w:type="default" r:id="rId26"/>
      <w:headerReference w:type="first" r:id="rId27"/>
      <w:footerReference w:type="first" r:id="rId28"/>
      <w:pgSz w:w="12240" w:h="15840"/>
      <w:pgMar w:top="1365" w:right="1440" w:bottom="1440" w:left="1440" w:header="720" w:footer="266"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DE" w:rsidRDefault="007E1ADE" w:rsidP="002E1873">
      <w:pPr>
        <w:spacing w:after="0" w:line="240" w:lineRule="auto"/>
      </w:pPr>
      <w:r>
        <w:separator/>
      </w:r>
    </w:p>
  </w:endnote>
  <w:endnote w:type="continuationSeparator" w:id="0">
    <w:p w:rsidR="007E1ADE" w:rsidRDefault="007E1ADE" w:rsidP="002E1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C3" w:rsidRDefault="00FF45C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Default="00787C92" w:rsidP="005311F2">
    <w:pPr>
      <w:pStyle w:val="11"/>
      <w:pBdr>
        <w:top w:val="dotted" w:sz="4" w:space="0" w:color="262626"/>
      </w:pBdr>
      <w:tabs>
        <w:tab w:val="right" w:pos="-3969"/>
      </w:tabs>
      <w:ind w:right="283"/>
      <w:jc w:val="center"/>
      <w:rPr>
        <w:rFonts w:asciiTheme="majorHAnsi" w:hAnsiTheme="majorHAnsi" w:cs="Tahoma"/>
        <w:sz w:val="18"/>
        <w:szCs w:val="16"/>
        <w:lang w:val="el-GR"/>
      </w:rPr>
    </w:pPr>
    <w:r>
      <w:rPr>
        <w:rFonts w:asciiTheme="majorHAnsi" w:hAnsiTheme="majorHAnsi" w:cs="Tahoma"/>
        <w:color w:val="000000" w:themeColor="text1"/>
        <w:spacing w:val="20"/>
        <w:sz w:val="18"/>
        <w:szCs w:val="21"/>
        <w:lang w:val="el-GR"/>
      </w:rPr>
      <w:br/>
    </w:r>
    <w:r w:rsidRPr="00787C92">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2738C0">
      <w:rPr>
        <w:rFonts w:asciiTheme="majorHAnsi" w:hAnsiTheme="majorHAnsi" w:cs="Tahoma"/>
        <w:szCs w:val="16"/>
        <w:lang w:val="el-GR"/>
      </w:rPr>
      <w:br/>
    </w:r>
    <w:r w:rsidR="002738C0">
      <w:rPr>
        <w:rFonts w:asciiTheme="majorHAnsi" w:hAnsiTheme="majorHAnsi" w:cs="Tahoma"/>
        <w:color w:val="3B3838" w:themeColor="background2" w:themeShade="40"/>
        <w:sz w:val="20"/>
        <w:szCs w:val="16"/>
        <w:lang w:val="el-GR"/>
      </w:rPr>
      <w:t xml:space="preserve"> </w:t>
    </w:r>
    <w:r w:rsidR="005311F2">
      <w:rPr>
        <w:rFonts w:asciiTheme="majorHAnsi" w:hAnsiTheme="majorHAnsi" w:cs="Tahoma"/>
        <w:color w:val="3B3838" w:themeColor="background2" w:themeShade="40"/>
        <w:sz w:val="20"/>
        <w:szCs w:val="16"/>
        <w:lang w:val="el-GR"/>
      </w:rPr>
      <w:t xml:space="preserve">Έδρα: </w:t>
    </w:r>
    <w:r w:rsidR="002738C0" w:rsidRPr="00D41F9B">
      <w:rPr>
        <w:rFonts w:asciiTheme="majorHAnsi" w:hAnsiTheme="majorHAnsi" w:cs="Tahoma"/>
        <w:color w:val="3B3838" w:themeColor="background2" w:themeShade="40"/>
        <w:sz w:val="18"/>
        <w:szCs w:val="16"/>
        <w:lang w:val="fr-FR"/>
      </w:rPr>
      <w:t>Βασ. Κωνσταντίνου 48, 11635 Αθήνα</w:t>
    </w:r>
    <w:r w:rsidR="005311F2">
      <w:rPr>
        <w:rFonts w:asciiTheme="majorHAnsi" w:hAnsiTheme="majorHAnsi" w:cs="Tahoma"/>
        <w:color w:val="3B3838" w:themeColor="background2" w:themeShade="40"/>
        <w:sz w:val="18"/>
        <w:szCs w:val="16"/>
        <w:lang w:val="el-GR"/>
      </w:rPr>
      <w:t xml:space="preserve"> | Γραφεία: Ζεφύρου 56, 17564 Π. Φάληρο</w:t>
    </w:r>
    <w:r w:rsidR="002738C0" w:rsidRPr="00D41F9B">
      <w:rPr>
        <w:rFonts w:asciiTheme="majorHAnsi" w:hAnsiTheme="majorHAnsi" w:cs="Tahoma"/>
        <w:color w:val="3B3838" w:themeColor="background2" w:themeShade="40"/>
        <w:sz w:val="20"/>
        <w:szCs w:val="16"/>
        <w:lang w:val="el-GR"/>
      </w:rPr>
      <w:t xml:space="preserve"> </w:t>
    </w:r>
    <w:r w:rsidR="005311F2">
      <w:rPr>
        <w:rFonts w:asciiTheme="majorHAnsi" w:hAnsiTheme="majorHAnsi" w:cs="Tahoma"/>
        <w:color w:val="3B3838" w:themeColor="background2" w:themeShade="40"/>
        <w:sz w:val="20"/>
        <w:szCs w:val="16"/>
        <w:lang w:val="el-GR"/>
      </w:rPr>
      <w:br/>
    </w:r>
    <w:r w:rsidR="002738C0">
      <w:rPr>
        <w:rFonts w:asciiTheme="majorHAnsi" w:hAnsiTheme="majorHAnsi" w:cs="Tahoma"/>
        <w:b/>
        <w:color w:val="BF2F38"/>
        <w:sz w:val="18"/>
        <w:szCs w:val="16"/>
        <w:lang w:val="el-GR"/>
      </w:rPr>
      <w:t>Τ</w:t>
    </w:r>
    <w:r w:rsidR="002738C0">
      <w:rPr>
        <w:rFonts w:asciiTheme="majorHAnsi" w:hAnsiTheme="majorHAnsi" w:cs="Tahoma"/>
        <w:b/>
        <w:color w:val="BF2F38"/>
        <w:sz w:val="18"/>
        <w:szCs w:val="16"/>
        <w:lang w:val="fr-FR"/>
      </w:rPr>
      <w:t>:</w:t>
    </w:r>
    <w:r w:rsidR="002738C0">
      <w:rPr>
        <w:rFonts w:asciiTheme="majorHAnsi" w:hAnsiTheme="majorHAnsi" w:cs="Tahoma"/>
        <w:color w:val="3B3838" w:themeColor="background2" w:themeShade="40"/>
        <w:sz w:val="18"/>
        <w:szCs w:val="16"/>
        <w:lang w:val="fr-FR"/>
      </w:rPr>
      <w:t xml:space="preserve"> 210 2204900</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lang w:val="fr-FR"/>
      </w:rPr>
      <w:t xml:space="preserve">E: </w:t>
    </w:r>
    <w:r w:rsidR="002738C0">
      <w:rPr>
        <w:rFonts w:asciiTheme="majorHAnsi" w:hAnsiTheme="majorHAnsi" w:cs="Tahoma"/>
        <w:color w:val="3B3838" w:themeColor="background2" w:themeShade="40"/>
        <w:sz w:val="18"/>
        <w:szCs w:val="16"/>
      </w:rPr>
      <w:t>info</w:t>
    </w:r>
    <w:r w:rsidR="002738C0">
      <w:rPr>
        <w:rFonts w:asciiTheme="majorHAnsi" w:hAnsiTheme="majorHAnsi" w:cs="Tahoma"/>
        <w:color w:val="3B3838" w:themeColor="background2" w:themeShade="40"/>
        <w:sz w:val="18"/>
        <w:szCs w:val="16"/>
        <w:lang w:val="fr-FR"/>
      </w:rPr>
      <w:t>@</w:t>
    </w:r>
    <w:proofErr w:type="spellStart"/>
    <w:r w:rsidR="002738C0">
      <w:rPr>
        <w:rFonts w:asciiTheme="majorHAnsi" w:hAnsiTheme="majorHAnsi" w:cs="Tahoma"/>
        <w:color w:val="3B3838" w:themeColor="background2" w:themeShade="40"/>
        <w:sz w:val="18"/>
        <w:szCs w:val="16"/>
        <w:lang w:val="fr-FR"/>
      </w:rPr>
      <w:t>ekt.gr</w:t>
    </w:r>
    <w:proofErr w:type="spellEnd"/>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rPr>
      <w:t>W</w:t>
    </w:r>
    <w:r w:rsidR="002738C0">
      <w:rPr>
        <w:rFonts w:asciiTheme="majorHAnsi" w:hAnsiTheme="majorHAnsi" w:cs="Tahoma"/>
        <w:b/>
        <w:color w:val="BF2F38"/>
        <w:sz w:val="18"/>
        <w:szCs w:val="16"/>
        <w:lang w:val="el-GR"/>
      </w:rPr>
      <w:t>:</w:t>
    </w:r>
    <w:r w:rsidR="002738C0">
      <w:rPr>
        <w:rFonts w:asciiTheme="majorHAnsi" w:hAnsiTheme="majorHAnsi" w:cs="Tahoma"/>
        <w:color w:val="3B3838" w:themeColor="background2" w:themeShade="40"/>
        <w:sz w:val="18"/>
        <w:szCs w:val="16"/>
        <w:lang w:val="fr-FR"/>
      </w:rPr>
      <w:t xml:space="preserve"> </w:t>
    </w:r>
    <w:hyperlink r:id="rId1" w:history="1">
      <w:r w:rsidR="005311F2" w:rsidRPr="00C33994">
        <w:rPr>
          <w:rFonts w:asciiTheme="majorHAnsi" w:hAnsiTheme="majorHAnsi" w:cs="Tahoma"/>
          <w:color w:val="3B3838" w:themeColor="background2" w:themeShade="40"/>
          <w:sz w:val="18"/>
          <w:szCs w:val="16"/>
          <w:lang w:val="el-GR"/>
        </w:rPr>
        <w:t>www.ekt.gr</w:t>
      </w:r>
    </w:hyperlink>
  </w:p>
  <w:p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Default="002738C0">
    <w:pPr>
      <w:pStyle w:val="1"/>
      <w:ind w:left="7200"/>
      <w:rPr>
        <w:lang w:val="el-GR"/>
      </w:rPr>
    </w:pPr>
  </w:p>
  <w:p w:rsidR="002738C0" w:rsidRPr="00D41F9B" w:rsidRDefault="00787C92"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Pr="00787C92">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Pr="00787C92">
      <w:rPr>
        <w:rFonts w:asciiTheme="majorHAnsi" w:hAnsiTheme="majorHAnsi" w:cs="Tahoma"/>
        <w:color w:val="000000" w:themeColor="text1"/>
        <w:szCs w:val="16"/>
        <w:lang w:val="el-GR"/>
      </w:rPr>
      <w:t xml:space="preserve"> </w:t>
    </w:r>
    <w:r w:rsidR="002738C0">
      <w:rPr>
        <w:rFonts w:asciiTheme="majorHAnsi" w:hAnsiTheme="majorHAnsi" w:cs="Tahoma"/>
        <w:szCs w:val="16"/>
        <w:lang w:val="el-GR"/>
      </w:rPr>
      <w:br/>
    </w:r>
    <w:r w:rsidR="002738C0">
      <w:rPr>
        <w:rFonts w:asciiTheme="majorHAnsi" w:hAnsiTheme="majorHAnsi" w:cs="Tahoma"/>
        <w:color w:val="3B3838" w:themeColor="background2" w:themeShade="40"/>
        <w:sz w:val="20"/>
        <w:szCs w:val="16"/>
        <w:lang w:val="el-GR"/>
      </w:rPr>
      <w:t xml:space="preserve"> </w:t>
    </w:r>
    <w:r w:rsidR="002738C0" w:rsidRPr="00D41F9B">
      <w:rPr>
        <w:rFonts w:asciiTheme="majorHAnsi" w:hAnsiTheme="majorHAnsi" w:cs="Tahoma"/>
        <w:color w:val="3B3838" w:themeColor="background2" w:themeShade="40"/>
        <w:sz w:val="18"/>
        <w:szCs w:val="16"/>
        <w:lang w:val="fr-FR"/>
      </w:rPr>
      <w:t>Βασ. Κωνσταντίνου 48, 11635 Αθήνα</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lang w:val="el-GR"/>
      </w:rPr>
      <w:t>Τ</w:t>
    </w:r>
    <w:r w:rsidR="002738C0">
      <w:rPr>
        <w:rFonts w:asciiTheme="majorHAnsi" w:hAnsiTheme="majorHAnsi" w:cs="Tahoma"/>
        <w:b/>
        <w:color w:val="BF2F38"/>
        <w:sz w:val="18"/>
        <w:szCs w:val="16"/>
        <w:lang w:val="fr-FR"/>
      </w:rPr>
      <w:t>:</w:t>
    </w:r>
    <w:r w:rsidR="002738C0">
      <w:rPr>
        <w:rFonts w:asciiTheme="majorHAnsi" w:hAnsiTheme="majorHAnsi" w:cs="Tahoma"/>
        <w:color w:val="3B3838" w:themeColor="background2" w:themeShade="40"/>
        <w:sz w:val="18"/>
        <w:szCs w:val="16"/>
        <w:lang w:val="fr-FR"/>
      </w:rPr>
      <w:t xml:space="preserve"> 210 2204900</w:t>
    </w:r>
    <w:r w:rsidR="002738C0" w:rsidRPr="00D41F9B">
      <w:rPr>
        <w:rFonts w:asciiTheme="majorHAnsi" w:hAnsiTheme="majorHAnsi" w:cs="Tahoma"/>
        <w:color w:val="3B3838" w:themeColor="background2" w:themeShade="40"/>
        <w:sz w:val="20"/>
        <w:szCs w:val="16"/>
        <w:lang w:val="el-GR"/>
      </w:rPr>
      <w:t xml:space="preserve"> | | </w:t>
    </w:r>
    <w:r w:rsidR="002738C0">
      <w:rPr>
        <w:rFonts w:asciiTheme="majorHAnsi" w:hAnsiTheme="majorHAnsi" w:cs="Tahoma"/>
        <w:b/>
        <w:color w:val="BF2F38"/>
        <w:sz w:val="18"/>
        <w:szCs w:val="16"/>
        <w:lang w:val="fr-FR"/>
      </w:rPr>
      <w:t xml:space="preserve">E: </w:t>
    </w:r>
    <w:r w:rsidR="002738C0">
      <w:rPr>
        <w:rFonts w:asciiTheme="majorHAnsi" w:hAnsiTheme="majorHAnsi" w:cs="Tahoma"/>
        <w:color w:val="3B3838" w:themeColor="background2" w:themeShade="40"/>
        <w:sz w:val="18"/>
        <w:szCs w:val="16"/>
        <w:lang w:val="fr-FR"/>
      </w:rPr>
      <w:t>info@ekt.gr</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rPr>
      <w:t>W</w:t>
    </w:r>
    <w:r w:rsidR="002738C0">
      <w:rPr>
        <w:rFonts w:asciiTheme="majorHAnsi" w:hAnsiTheme="majorHAnsi" w:cs="Tahoma"/>
        <w:b/>
        <w:color w:val="BF2F38"/>
        <w:sz w:val="18"/>
        <w:szCs w:val="16"/>
        <w:lang w:val="el-GR"/>
      </w:rPr>
      <w:t>:</w:t>
    </w:r>
    <w:r w:rsidR="002738C0">
      <w:rPr>
        <w:rFonts w:asciiTheme="majorHAnsi" w:hAnsiTheme="majorHAnsi" w:cs="Tahoma"/>
        <w:color w:val="3B3838" w:themeColor="background2" w:themeShade="40"/>
        <w:sz w:val="18"/>
        <w:szCs w:val="16"/>
        <w:lang w:val="fr-FR"/>
      </w:rPr>
      <w:t xml:space="preserve"> </w:t>
    </w:r>
    <w:r w:rsidR="002738C0">
      <w:rPr>
        <w:rFonts w:asciiTheme="majorHAnsi" w:hAnsiTheme="majorHAnsi" w:cs="Tahoma"/>
        <w:sz w:val="18"/>
        <w:szCs w:val="16"/>
        <w:lang w:val="fr-FR"/>
      </w:rPr>
      <w:t>www.ekt.gr</w:t>
    </w:r>
  </w:p>
  <w:p w:rsidR="002738C0" w:rsidRPr="00D41F9B" w:rsidRDefault="002738C0">
    <w:pPr>
      <w:pStyle w:val="11"/>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DE" w:rsidRDefault="007E1ADE" w:rsidP="002E1873">
      <w:pPr>
        <w:spacing w:after="0" w:line="240" w:lineRule="auto"/>
      </w:pPr>
      <w:r>
        <w:separator/>
      </w:r>
    </w:p>
  </w:footnote>
  <w:footnote w:type="continuationSeparator" w:id="0">
    <w:p w:rsidR="007E1ADE" w:rsidRDefault="007E1ADE" w:rsidP="002E1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C3" w:rsidRDefault="00FF45C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Pr="00FF45C3" w:rsidRDefault="00FF45C3" w:rsidP="00FF45C3">
    <w:pPr>
      <w:spacing w:after="0" w:line="240" w:lineRule="auto"/>
      <w:rPr>
        <w:rFonts w:cstheme="majorHAnsi"/>
        <w:color w:val="262626" w:themeColor="text1" w:themeTint="D9"/>
        <w:sz w:val="20"/>
        <w:szCs w:val="20"/>
        <w:lang w:val="el-GR"/>
      </w:rPr>
    </w:pPr>
    <w:r w:rsidRPr="00FF45C3">
      <w:rPr>
        <w:rFonts w:cstheme="majorHAnsi"/>
        <w:color w:val="262626" w:themeColor="text1" w:themeTint="D9"/>
        <w:sz w:val="20"/>
        <w:szCs w:val="20"/>
        <w:lang w:val="el-GR"/>
      </w:rPr>
      <w:t xml:space="preserve">Οι επιδόσεις των ελληνικών Περιφερειών σε δραστηριότητες Έρευνας, Ανάπτυξης, Καινοτομίας σε νέα έκδοση του ΕΚΤ   </w:t>
    </w:r>
    <w:r w:rsidR="00787C92" w:rsidRPr="00D52861">
      <w:rPr>
        <w:sz w:val="20"/>
        <w:szCs w:val="20"/>
        <w:lang w:val="el-GR"/>
      </w:rPr>
      <w:t xml:space="preserve">| </w:t>
    </w:r>
    <w:r w:rsidR="00787C92" w:rsidRPr="00D52861">
      <w:rPr>
        <w:sz w:val="20"/>
        <w:szCs w:val="20"/>
        <w:lang w:val="el-GR" w:eastAsia="el-GR"/>
      </w:rPr>
      <w:t>ΕΚΤ</w:t>
    </w:r>
    <w:r w:rsidR="00787C92">
      <w:rPr>
        <w:b/>
        <w:sz w:val="20"/>
        <w:szCs w:val="20"/>
        <w:lang w:val="el-GR" w:eastAsia="el-GR"/>
      </w:rPr>
      <w:t xml:space="preserve"> </w:t>
    </w:r>
    <w:r w:rsidR="00787C92">
      <w:rPr>
        <w:sz w:val="20"/>
        <w:szCs w:val="20"/>
        <w:lang w:val="el-GR"/>
      </w:rPr>
      <w:t>|</w:t>
    </w:r>
    <w:r w:rsidR="00787C92" w:rsidRPr="00787C92">
      <w:rPr>
        <w:sz w:val="20"/>
        <w:szCs w:val="20"/>
        <w:lang w:val="el-GR"/>
      </w:rPr>
      <w:t xml:space="preserve"> </w:t>
    </w:r>
    <w:r w:rsidR="00787C92">
      <w:rPr>
        <w:sz w:val="20"/>
        <w:szCs w:val="20"/>
        <w:lang w:val="el-GR"/>
      </w:rPr>
      <w:t>ΔΕΛΤΙΟ ΤΥΠΟΥ</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Default="002738C0">
    <w:pPr>
      <w:pStyle w:val="1"/>
      <w:ind w:left="7200"/>
      <w:rPr>
        <w:lang w:val="el-GR"/>
      </w:rPr>
    </w:pPr>
    <w:r w:rsidRPr="00D41F9B">
      <w:rPr>
        <w:noProof/>
        <w:color w:val="3B3838" w:themeColor="background2" w:themeShade="40"/>
        <w:lang w:val="el-GR" w:eastAsia="el-GR"/>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3C4742">
      <w:rPr>
        <w:lang w:val="el-GR"/>
      </w:rPr>
      <w:t>1</w:t>
    </w:r>
    <w:r w:rsidR="00DC28CC">
      <w:rPr>
        <w:lang w:val="el-GR"/>
      </w:rPr>
      <w:t>6</w:t>
    </w:r>
    <w:r w:rsidRPr="00264DFB">
      <w:t>.</w:t>
    </w:r>
    <w:r w:rsidR="003C4742">
      <w:rPr>
        <w:lang w:val="el-GR"/>
      </w:rPr>
      <w:t>03</w:t>
    </w:r>
    <w:r w:rsidRPr="00264DFB">
      <w:rPr>
        <w:lang w:val="el-GR"/>
      </w:rPr>
      <w:t>.20</w:t>
    </w:r>
    <w:r w:rsidRPr="00264DFB">
      <w:t>2</w:t>
    </w:r>
    <w:r w:rsidR="003C4742">
      <w:rPr>
        <w:lang w:val="el-GR"/>
      </w:rPr>
      <w:t>2</w:t>
    </w:r>
  </w:p>
  <w:p w:rsidR="002738C0" w:rsidRDefault="002738C0">
    <w:pPr>
      <w:pStyle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2E1873"/>
    <w:rsid w:val="0000296B"/>
    <w:rsid w:val="00034B5C"/>
    <w:rsid w:val="00043427"/>
    <w:rsid w:val="00044A7D"/>
    <w:rsid w:val="00051B13"/>
    <w:rsid w:val="0005442B"/>
    <w:rsid w:val="00061794"/>
    <w:rsid w:val="00063D68"/>
    <w:rsid w:val="00064AAE"/>
    <w:rsid w:val="00065E00"/>
    <w:rsid w:val="000665F7"/>
    <w:rsid w:val="00067AF1"/>
    <w:rsid w:val="00075F01"/>
    <w:rsid w:val="000878D1"/>
    <w:rsid w:val="00090578"/>
    <w:rsid w:val="00097532"/>
    <w:rsid w:val="00097B1F"/>
    <w:rsid w:val="000B5EF3"/>
    <w:rsid w:val="000B6322"/>
    <w:rsid w:val="000C176C"/>
    <w:rsid w:val="000C46F9"/>
    <w:rsid w:val="000D1EF7"/>
    <w:rsid w:val="000D3390"/>
    <w:rsid w:val="000D6C9C"/>
    <w:rsid w:val="000E2EB0"/>
    <w:rsid w:val="000E670B"/>
    <w:rsid w:val="000F1B7A"/>
    <w:rsid w:val="000F5535"/>
    <w:rsid w:val="001016B6"/>
    <w:rsid w:val="00103745"/>
    <w:rsid w:val="001055E6"/>
    <w:rsid w:val="00111A97"/>
    <w:rsid w:val="001132DE"/>
    <w:rsid w:val="00121D68"/>
    <w:rsid w:val="00130A42"/>
    <w:rsid w:val="0013453F"/>
    <w:rsid w:val="0013773A"/>
    <w:rsid w:val="001609C6"/>
    <w:rsid w:val="001626C1"/>
    <w:rsid w:val="001643B5"/>
    <w:rsid w:val="00164AD6"/>
    <w:rsid w:val="0016730D"/>
    <w:rsid w:val="0017687E"/>
    <w:rsid w:val="00184EB5"/>
    <w:rsid w:val="001879A9"/>
    <w:rsid w:val="00192BAB"/>
    <w:rsid w:val="00193A53"/>
    <w:rsid w:val="001973D7"/>
    <w:rsid w:val="001B4E96"/>
    <w:rsid w:val="001B6400"/>
    <w:rsid w:val="001C2B9D"/>
    <w:rsid w:val="001D60BF"/>
    <w:rsid w:val="001E15D2"/>
    <w:rsid w:val="001F4972"/>
    <w:rsid w:val="00204235"/>
    <w:rsid w:val="002043D7"/>
    <w:rsid w:val="00212827"/>
    <w:rsid w:val="00213507"/>
    <w:rsid w:val="0021492D"/>
    <w:rsid w:val="002208F1"/>
    <w:rsid w:val="00223580"/>
    <w:rsid w:val="00225168"/>
    <w:rsid w:val="00226351"/>
    <w:rsid w:val="00227ADB"/>
    <w:rsid w:val="00231BA2"/>
    <w:rsid w:val="002332F3"/>
    <w:rsid w:val="00235FA2"/>
    <w:rsid w:val="00241D75"/>
    <w:rsid w:val="002423F5"/>
    <w:rsid w:val="00242574"/>
    <w:rsid w:val="00243231"/>
    <w:rsid w:val="0024712B"/>
    <w:rsid w:val="00251B73"/>
    <w:rsid w:val="002544D7"/>
    <w:rsid w:val="002556AA"/>
    <w:rsid w:val="002576D4"/>
    <w:rsid w:val="00260F45"/>
    <w:rsid w:val="00261B93"/>
    <w:rsid w:val="00263A9B"/>
    <w:rsid w:val="00264DFB"/>
    <w:rsid w:val="002738C0"/>
    <w:rsid w:val="00281CCA"/>
    <w:rsid w:val="002877A3"/>
    <w:rsid w:val="00293E42"/>
    <w:rsid w:val="002953E0"/>
    <w:rsid w:val="002B3685"/>
    <w:rsid w:val="002B5472"/>
    <w:rsid w:val="002B5701"/>
    <w:rsid w:val="002B5D08"/>
    <w:rsid w:val="002C0EAE"/>
    <w:rsid w:val="002C2D7F"/>
    <w:rsid w:val="002C33D6"/>
    <w:rsid w:val="002E1873"/>
    <w:rsid w:val="002E3A80"/>
    <w:rsid w:val="002E5E11"/>
    <w:rsid w:val="002F18B8"/>
    <w:rsid w:val="002F3895"/>
    <w:rsid w:val="003059DD"/>
    <w:rsid w:val="00307AB6"/>
    <w:rsid w:val="00315158"/>
    <w:rsid w:val="00315380"/>
    <w:rsid w:val="0032152E"/>
    <w:rsid w:val="003251FE"/>
    <w:rsid w:val="003328AF"/>
    <w:rsid w:val="00332E2C"/>
    <w:rsid w:val="00334E51"/>
    <w:rsid w:val="003416F0"/>
    <w:rsid w:val="00345DDC"/>
    <w:rsid w:val="00350980"/>
    <w:rsid w:val="0039097A"/>
    <w:rsid w:val="003A09FF"/>
    <w:rsid w:val="003A43CD"/>
    <w:rsid w:val="003C4742"/>
    <w:rsid w:val="003D461D"/>
    <w:rsid w:val="003E32B8"/>
    <w:rsid w:val="003E64BB"/>
    <w:rsid w:val="003F70CA"/>
    <w:rsid w:val="00401A75"/>
    <w:rsid w:val="00405615"/>
    <w:rsid w:val="00407A13"/>
    <w:rsid w:val="00421DA3"/>
    <w:rsid w:val="00427B63"/>
    <w:rsid w:val="00442A6B"/>
    <w:rsid w:val="0044436E"/>
    <w:rsid w:val="00446D9B"/>
    <w:rsid w:val="00447DCF"/>
    <w:rsid w:val="00462DDC"/>
    <w:rsid w:val="004630A5"/>
    <w:rsid w:val="004640D9"/>
    <w:rsid w:val="00477D8D"/>
    <w:rsid w:val="00486BF1"/>
    <w:rsid w:val="00494C8F"/>
    <w:rsid w:val="004955F1"/>
    <w:rsid w:val="004A154F"/>
    <w:rsid w:val="004A1D94"/>
    <w:rsid w:val="004A2D3B"/>
    <w:rsid w:val="004B2B64"/>
    <w:rsid w:val="004B48D6"/>
    <w:rsid w:val="004B7A0F"/>
    <w:rsid w:val="004C11AD"/>
    <w:rsid w:val="004C1E53"/>
    <w:rsid w:val="004C25BB"/>
    <w:rsid w:val="004D12A2"/>
    <w:rsid w:val="004D4098"/>
    <w:rsid w:val="004D7E4A"/>
    <w:rsid w:val="004E3EBF"/>
    <w:rsid w:val="004E4B57"/>
    <w:rsid w:val="004F32C4"/>
    <w:rsid w:val="005052BB"/>
    <w:rsid w:val="00512AB6"/>
    <w:rsid w:val="00517337"/>
    <w:rsid w:val="00521957"/>
    <w:rsid w:val="005311F2"/>
    <w:rsid w:val="00533CFB"/>
    <w:rsid w:val="0053751B"/>
    <w:rsid w:val="0055587A"/>
    <w:rsid w:val="00561F1D"/>
    <w:rsid w:val="005664E1"/>
    <w:rsid w:val="00577E88"/>
    <w:rsid w:val="00580476"/>
    <w:rsid w:val="0059171C"/>
    <w:rsid w:val="005A0403"/>
    <w:rsid w:val="005A7977"/>
    <w:rsid w:val="005B5961"/>
    <w:rsid w:val="005B61E5"/>
    <w:rsid w:val="005E6736"/>
    <w:rsid w:val="005F0D19"/>
    <w:rsid w:val="00610214"/>
    <w:rsid w:val="00610B2F"/>
    <w:rsid w:val="00616508"/>
    <w:rsid w:val="0063034C"/>
    <w:rsid w:val="00644828"/>
    <w:rsid w:val="00650AC4"/>
    <w:rsid w:val="0065132C"/>
    <w:rsid w:val="00651BC9"/>
    <w:rsid w:val="00652B33"/>
    <w:rsid w:val="00660838"/>
    <w:rsid w:val="00665986"/>
    <w:rsid w:val="006854F7"/>
    <w:rsid w:val="00687BAB"/>
    <w:rsid w:val="00693749"/>
    <w:rsid w:val="006A75E6"/>
    <w:rsid w:val="006B6A9A"/>
    <w:rsid w:val="006D0D75"/>
    <w:rsid w:val="006D4981"/>
    <w:rsid w:val="006E2C99"/>
    <w:rsid w:val="006E4C35"/>
    <w:rsid w:val="006F356C"/>
    <w:rsid w:val="006F3E01"/>
    <w:rsid w:val="006F4B9E"/>
    <w:rsid w:val="00702956"/>
    <w:rsid w:val="00704039"/>
    <w:rsid w:val="00705AA4"/>
    <w:rsid w:val="00705D85"/>
    <w:rsid w:val="007145F4"/>
    <w:rsid w:val="00716893"/>
    <w:rsid w:val="00720C3A"/>
    <w:rsid w:val="00723BA0"/>
    <w:rsid w:val="00734674"/>
    <w:rsid w:val="007373E1"/>
    <w:rsid w:val="00743441"/>
    <w:rsid w:val="007506CF"/>
    <w:rsid w:val="007665FB"/>
    <w:rsid w:val="0076702B"/>
    <w:rsid w:val="0077060F"/>
    <w:rsid w:val="007716D8"/>
    <w:rsid w:val="00772268"/>
    <w:rsid w:val="00787C92"/>
    <w:rsid w:val="00790BEA"/>
    <w:rsid w:val="00797661"/>
    <w:rsid w:val="00797F30"/>
    <w:rsid w:val="007B5087"/>
    <w:rsid w:val="007C52AC"/>
    <w:rsid w:val="007C536F"/>
    <w:rsid w:val="007C6B0B"/>
    <w:rsid w:val="007D2870"/>
    <w:rsid w:val="007D77A4"/>
    <w:rsid w:val="007E1ADE"/>
    <w:rsid w:val="007E4D87"/>
    <w:rsid w:val="007E67CF"/>
    <w:rsid w:val="007E7671"/>
    <w:rsid w:val="007E7698"/>
    <w:rsid w:val="007E77EA"/>
    <w:rsid w:val="007E7935"/>
    <w:rsid w:val="00801E68"/>
    <w:rsid w:val="00802EA1"/>
    <w:rsid w:val="00807351"/>
    <w:rsid w:val="0081280F"/>
    <w:rsid w:val="00815DC2"/>
    <w:rsid w:val="00817DBB"/>
    <w:rsid w:val="00821115"/>
    <w:rsid w:val="00825B50"/>
    <w:rsid w:val="00834D8D"/>
    <w:rsid w:val="008439D2"/>
    <w:rsid w:val="0085138D"/>
    <w:rsid w:val="0085405D"/>
    <w:rsid w:val="00881E9A"/>
    <w:rsid w:val="00883A95"/>
    <w:rsid w:val="00885C95"/>
    <w:rsid w:val="0089182B"/>
    <w:rsid w:val="008918B2"/>
    <w:rsid w:val="00897E62"/>
    <w:rsid w:val="008A0F6A"/>
    <w:rsid w:val="008A2E43"/>
    <w:rsid w:val="008A4063"/>
    <w:rsid w:val="008B4793"/>
    <w:rsid w:val="008B50D9"/>
    <w:rsid w:val="008B6150"/>
    <w:rsid w:val="008C7679"/>
    <w:rsid w:val="008D2755"/>
    <w:rsid w:val="008E5393"/>
    <w:rsid w:val="008F102D"/>
    <w:rsid w:val="008F44A2"/>
    <w:rsid w:val="0090668A"/>
    <w:rsid w:val="00914547"/>
    <w:rsid w:val="00934878"/>
    <w:rsid w:val="00935541"/>
    <w:rsid w:val="009374E8"/>
    <w:rsid w:val="0096148D"/>
    <w:rsid w:val="0096686D"/>
    <w:rsid w:val="009732E6"/>
    <w:rsid w:val="00990EC2"/>
    <w:rsid w:val="00997624"/>
    <w:rsid w:val="009B0DF0"/>
    <w:rsid w:val="009B5AA5"/>
    <w:rsid w:val="009C4982"/>
    <w:rsid w:val="009D0EF3"/>
    <w:rsid w:val="009D1FDE"/>
    <w:rsid w:val="009E701A"/>
    <w:rsid w:val="009F2CF1"/>
    <w:rsid w:val="00A0146D"/>
    <w:rsid w:val="00A02041"/>
    <w:rsid w:val="00A04DBF"/>
    <w:rsid w:val="00A10E02"/>
    <w:rsid w:val="00A11144"/>
    <w:rsid w:val="00A13F90"/>
    <w:rsid w:val="00A36E04"/>
    <w:rsid w:val="00A43B93"/>
    <w:rsid w:val="00A4758D"/>
    <w:rsid w:val="00A61AB1"/>
    <w:rsid w:val="00A70390"/>
    <w:rsid w:val="00A73617"/>
    <w:rsid w:val="00A7669B"/>
    <w:rsid w:val="00A944BF"/>
    <w:rsid w:val="00A96096"/>
    <w:rsid w:val="00AA36EC"/>
    <w:rsid w:val="00AC358B"/>
    <w:rsid w:val="00AD0383"/>
    <w:rsid w:val="00AD069D"/>
    <w:rsid w:val="00AD075F"/>
    <w:rsid w:val="00AD2ABA"/>
    <w:rsid w:val="00AD526B"/>
    <w:rsid w:val="00AE65B0"/>
    <w:rsid w:val="00AF1A08"/>
    <w:rsid w:val="00AF5A34"/>
    <w:rsid w:val="00AF6A36"/>
    <w:rsid w:val="00B04B35"/>
    <w:rsid w:val="00B20273"/>
    <w:rsid w:val="00B27D91"/>
    <w:rsid w:val="00B31E7A"/>
    <w:rsid w:val="00B330F7"/>
    <w:rsid w:val="00B33912"/>
    <w:rsid w:val="00B403E0"/>
    <w:rsid w:val="00B4066B"/>
    <w:rsid w:val="00B552AA"/>
    <w:rsid w:val="00B57A74"/>
    <w:rsid w:val="00B709D9"/>
    <w:rsid w:val="00B75D53"/>
    <w:rsid w:val="00B770DC"/>
    <w:rsid w:val="00B81BAA"/>
    <w:rsid w:val="00B84192"/>
    <w:rsid w:val="00B87355"/>
    <w:rsid w:val="00BA050A"/>
    <w:rsid w:val="00BA3EF4"/>
    <w:rsid w:val="00BB291D"/>
    <w:rsid w:val="00BB63FE"/>
    <w:rsid w:val="00BB77B6"/>
    <w:rsid w:val="00BC390C"/>
    <w:rsid w:val="00BE4D4C"/>
    <w:rsid w:val="00BE4E81"/>
    <w:rsid w:val="00BE5839"/>
    <w:rsid w:val="00BF2CC5"/>
    <w:rsid w:val="00BF7DA6"/>
    <w:rsid w:val="00C11192"/>
    <w:rsid w:val="00C12667"/>
    <w:rsid w:val="00C15436"/>
    <w:rsid w:val="00C20342"/>
    <w:rsid w:val="00C24544"/>
    <w:rsid w:val="00C33994"/>
    <w:rsid w:val="00C467DD"/>
    <w:rsid w:val="00C515D1"/>
    <w:rsid w:val="00C54609"/>
    <w:rsid w:val="00C54A3D"/>
    <w:rsid w:val="00C55DA3"/>
    <w:rsid w:val="00C61884"/>
    <w:rsid w:val="00C62396"/>
    <w:rsid w:val="00C63BA5"/>
    <w:rsid w:val="00C70819"/>
    <w:rsid w:val="00C765D1"/>
    <w:rsid w:val="00C853FB"/>
    <w:rsid w:val="00C85F3D"/>
    <w:rsid w:val="00C931B9"/>
    <w:rsid w:val="00CB11E9"/>
    <w:rsid w:val="00CB1378"/>
    <w:rsid w:val="00CB4791"/>
    <w:rsid w:val="00CB6C78"/>
    <w:rsid w:val="00CD1DF6"/>
    <w:rsid w:val="00CD3BBC"/>
    <w:rsid w:val="00CD4E44"/>
    <w:rsid w:val="00CE0EE4"/>
    <w:rsid w:val="00CE245F"/>
    <w:rsid w:val="00CE79E4"/>
    <w:rsid w:val="00CF1DC3"/>
    <w:rsid w:val="00D0182F"/>
    <w:rsid w:val="00D048D9"/>
    <w:rsid w:val="00D12D46"/>
    <w:rsid w:val="00D132A0"/>
    <w:rsid w:val="00D17D47"/>
    <w:rsid w:val="00D213B9"/>
    <w:rsid w:val="00D27FB8"/>
    <w:rsid w:val="00D340AC"/>
    <w:rsid w:val="00D3532F"/>
    <w:rsid w:val="00D41F9B"/>
    <w:rsid w:val="00D42203"/>
    <w:rsid w:val="00D424A0"/>
    <w:rsid w:val="00D52861"/>
    <w:rsid w:val="00D54466"/>
    <w:rsid w:val="00D55E29"/>
    <w:rsid w:val="00D6654D"/>
    <w:rsid w:val="00D67756"/>
    <w:rsid w:val="00D67768"/>
    <w:rsid w:val="00D7223F"/>
    <w:rsid w:val="00D768F5"/>
    <w:rsid w:val="00D90C03"/>
    <w:rsid w:val="00D919D0"/>
    <w:rsid w:val="00DB3684"/>
    <w:rsid w:val="00DB5049"/>
    <w:rsid w:val="00DB703C"/>
    <w:rsid w:val="00DC28CC"/>
    <w:rsid w:val="00DC5204"/>
    <w:rsid w:val="00DD2C24"/>
    <w:rsid w:val="00E02EC4"/>
    <w:rsid w:val="00E03788"/>
    <w:rsid w:val="00E07888"/>
    <w:rsid w:val="00E10F0C"/>
    <w:rsid w:val="00E12E09"/>
    <w:rsid w:val="00E1503E"/>
    <w:rsid w:val="00E27EBF"/>
    <w:rsid w:val="00E3275F"/>
    <w:rsid w:val="00E44211"/>
    <w:rsid w:val="00E4638A"/>
    <w:rsid w:val="00E507E4"/>
    <w:rsid w:val="00E525AE"/>
    <w:rsid w:val="00E549D3"/>
    <w:rsid w:val="00E56F92"/>
    <w:rsid w:val="00E5744A"/>
    <w:rsid w:val="00E600C3"/>
    <w:rsid w:val="00E62404"/>
    <w:rsid w:val="00EA5A00"/>
    <w:rsid w:val="00EB6DB2"/>
    <w:rsid w:val="00EC283E"/>
    <w:rsid w:val="00EC6F99"/>
    <w:rsid w:val="00ED1172"/>
    <w:rsid w:val="00ED27D2"/>
    <w:rsid w:val="00ED30F3"/>
    <w:rsid w:val="00ED4083"/>
    <w:rsid w:val="00EF445A"/>
    <w:rsid w:val="00EF66BF"/>
    <w:rsid w:val="00F00748"/>
    <w:rsid w:val="00F12205"/>
    <w:rsid w:val="00F25EAF"/>
    <w:rsid w:val="00F27286"/>
    <w:rsid w:val="00F33E90"/>
    <w:rsid w:val="00F472FE"/>
    <w:rsid w:val="00F479DB"/>
    <w:rsid w:val="00F47CBE"/>
    <w:rsid w:val="00F50383"/>
    <w:rsid w:val="00F51263"/>
    <w:rsid w:val="00F70852"/>
    <w:rsid w:val="00F70DD3"/>
    <w:rsid w:val="00F7131D"/>
    <w:rsid w:val="00F84266"/>
    <w:rsid w:val="00F85173"/>
    <w:rsid w:val="00F860DD"/>
    <w:rsid w:val="00FA1A08"/>
    <w:rsid w:val="00FA4EA6"/>
    <w:rsid w:val="00FB3380"/>
    <w:rsid w:val="00FB70FF"/>
    <w:rsid w:val="00FD009B"/>
    <w:rsid w:val="00FE1415"/>
    <w:rsid w:val="00FF45C3"/>
    <w:rsid w:val="00FF57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 w:type="paragraph" w:customStyle="1" w:styleId="ae">
    <w:name w:val="λεζαντα"/>
    <w:basedOn w:val="a"/>
    <w:link w:val="Char5"/>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5">
    <w:name w:val="λεζαντα Char"/>
    <w:link w:val="ae"/>
    <w:rsid w:val="00F472FE"/>
    <w:rPr>
      <w:rFonts w:ascii="Myriad Pro Cond" w:eastAsia="Calibri" w:hAnsi="Myriad Pro Cond" w:cs="Times New Roman"/>
      <w:color w:val="1F4E79"/>
      <w:sz w:val="24"/>
      <w:szCs w:val="26"/>
    </w:rPr>
  </w:style>
  <w:style w:type="character" w:styleId="af">
    <w:name w:val="Emphasis"/>
    <w:basedOn w:val="a0"/>
    <w:uiPriority w:val="20"/>
    <w:qFormat/>
    <w:rsid w:val="004A2D3B"/>
    <w:rPr>
      <w:i/>
      <w:iCs/>
    </w:rPr>
  </w:style>
  <w:style w:type="character" w:styleId="af0">
    <w:name w:val="footnote reference"/>
    <w:basedOn w:val="a0"/>
    <w:uiPriority w:val="99"/>
    <w:semiHidden/>
    <w:unhideWhenUsed/>
    <w:rsid w:val="0032152E"/>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trics.ekt.gr/publications/543" TargetMode="External"/><Relationship Id="rId13" Type="http://schemas.openxmlformats.org/officeDocument/2006/relationships/hyperlink" Target="https://metrics.ekt.gr/ris"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metrics.ekt.gr/regions"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kt.gr"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ics.ekt.gr/publications/54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metrics.ekt.gr/region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metrics.ekt.gr/ris" TargetMode="External"/><Relationship Id="rId14" Type="http://schemas.openxmlformats.org/officeDocument/2006/relationships/hyperlink" Target="mailto:mproed@ekt.gr" TargetMode="External"/><Relationship Id="rId22" Type="http://schemas.openxmlformats.org/officeDocument/2006/relationships/image" Target="media/image7.jpe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kt.g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D460-D20B-4DBD-8BEB-F73E48D9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1741</Words>
  <Characters>9403</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home</cp:lastModifiedBy>
  <cp:revision>31</cp:revision>
  <cp:lastPrinted>2022-03-15T16:40:00Z</cp:lastPrinted>
  <dcterms:created xsi:type="dcterms:W3CDTF">2021-11-30T07:30:00Z</dcterms:created>
  <dcterms:modified xsi:type="dcterms:W3CDTF">2022-03-16T11:50:00Z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