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6C" w:rsidRDefault="00381FD9" w:rsidP="007D6B95">
      <w:pPr>
        <w:pStyle w:val="9"/>
        <w:spacing w:line="240" w:lineRule="auto"/>
        <w:ind w:left="0" w:right="0" w:firstLine="0"/>
        <w:rPr>
          <w:rFonts w:ascii="Verdana" w:hAnsi="Verdana"/>
          <w:szCs w:val="22"/>
        </w:rPr>
      </w:pPr>
      <w:r>
        <w:rPr>
          <w:rFonts w:ascii="Verdana" w:hAnsi="Verdana"/>
          <w:noProof/>
          <w:sz w:val="20"/>
        </w:rPr>
        <w:object w:dxaOrig="1440" w:dyaOrig="1440" w14:anchorId="7DFE4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216" o:allowincell="f">
            <v:imagedata r:id="rId8" o:title=""/>
            <w10:wrap type="topAndBottom"/>
          </v:shape>
          <o:OLEObject Type="Embed" ProgID="Photoshop.Image.5" ShapeID="_x0000_s1029" DrawAspect="Content" ObjectID="_1601286322" r:id="rId9">
            <o:FieldCodes>\s</o:FieldCodes>
          </o:OLEObject>
        </w:object>
      </w:r>
      <w:r w:rsidR="004671D5">
        <w:rPr>
          <w:rFonts w:ascii="Verdana" w:hAnsi="Verdana"/>
          <w:sz w:val="20"/>
        </w:rPr>
        <w:t xml:space="preserve"> </w:t>
      </w:r>
      <w:r w:rsidR="004671D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EF75E1" w:rsidRPr="00B53225">
        <w:rPr>
          <w:rFonts w:ascii="Verdana" w:hAnsi="Verdana"/>
          <w:sz w:val="20"/>
        </w:rPr>
        <w:tab/>
        <w:t xml:space="preserve">      </w:t>
      </w:r>
      <w:r w:rsidR="00B56702" w:rsidRPr="00B53225">
        <w:rPr>
          <w:rFonts w:ascii="Verdana" w:hAnsi="Verdana"/>
          <w:sz w:val="20"/>
        </w:rPr>
        <w:t xml:space="preserve">     </w:t>
      </w:r>
      <w:r w:rsidR="00B56702" w:rsidRPr="00452F44">
        <w:rPr>
          <w:rFonts w:ascii="Verdana" w:hAnsi="Verdana"/>
          <w:szCs w:val="22"/>
        </w:rPr>
        <w:t>Αθήνα</w:t>
      </w:r>
      <w:r w:rsidR="00B56702" w:rsidRPr="007D6B95">
        <w:rPr>
          <w:rFonts w:ascii="Verdana" w:hAnsi="Verdana"/>
          <w:szCs w:val="22"/>
        </w:rPr>
        <w:t xml:space="preserve">, </w:t>
      </w:r>
      <w:r w:rsidR="00016B9D" w:rsidRPr="00C850BA">
        <w:rPr>
          <w:rFonts w:ascii="Verdana" w:hAnsi="Verdana"/>
          <w:szCs w:val="22"/>
        </w:rPr>
        <w:t>17</w:t>
      </w:r>
      <w:r w:rsidR="007D6B95" w:rsidRPr="00C850BA">
        <w:rPr>
          <w:rFonts w:ascii="Verdana" w:hAnsi="Verdana"/>
          <w:szCs w:val="22"/>
        </w:rPr>
        <w:t>/</w:t>
      </w:r>
      <w:r w:rsidR="00016B9D" w:rsidRPr="00C850BA">
        <w:rPr>
          <w:rFonts w:ascii="Verdana" w:hAnsi="Verdana"/>
          <w:szCs w:val="22"/>
        </w:rPr>
        <w:t>1</w:t>
      </w:r>
      <w:r w:rsidR="007D6B95" w:rsidRPr="00C850BA">
        <w:rPr>
          <w:rFonts w:ascii="Verdana" w:hAnsi="Verdana"/>
          <w:szCs w:val="22"/>
        </w:rPr>
        <w:t>0/2018</w:t>
      </w:r>
    </w:p>
    <w:p w:rsidR="00B56702" w:rsidRPr="00067BEF" w:rsidRDefault="00B56702" w:rsidP="00FD2F31">
      <w:pPr>
        <w:pStyle w:val="a3"/>
        <w:rPr>
          <w:rFonts w:ascii="Verdana" w:hAnsi="Verdana"/>
          <w:sz w:val="24"/>
          <w:szCs w:val="24"/>
          <w:lang w:val="el-GR"/>
        </w:rPr>
      </w:pPr>
      <w:r w:rsidRPr="007D6B95">
        <w:rPr>
          <w:rFonts w:ascii="Verdana" w:hAnsi="Verdana"/>
          <w:sz w:val="24"/>
          <w:szCs w:val="24"/>
          <w:lang w:val="el-GR"/>
        </w:rPr>
        <w:t>ΔΕΛΤΙΟ ΤΥΠΟΥ</w:t>
      </w:r>
    </w:p>
    <w:p w:rsidR="006A21EB" w:rsidRPr="00BC6BF6" w:rsidRDefault="00BC6BF6" w:rsidP="0077580B">
      <w:pPr>
        <w:jc w:val="center"/>
        <w:rPr>
          <w:rFonts w:ascii="Verdana" w:hAnsi="Verdana"/>
          <w:b/>
          <w:sz w:val="22"/>
          <w:szCs w:val="22"/>
          <w:lang w:val="el-GR"/>
        </w:rPr>
      </w:pPr>
      <w:r w:rsidRPr="00BC6BF6">
        <w:rPr>
          <w:rFonts w:ascii="Verdana" w:hAnsi="Verdana"/>
          <w:b/>
          <w:sz w:val="22"/>
          <w:szCs w:val="22"/>
          <w:lang w:val="el-GR"/>
        </w:rPr>
        <w:t xml:space="preserve">Στο 1,14% </w:t>
      </w:r>
      <w:r w:rsidR="00377BDC" w:rsidRPr="00BC6BF6">
        <w:rPr>
          <w:rFonts w:ascii="Verdana" w:hAnsi="Verdana"/>
          <w:b/>
          <w:sz w:val="22"/>
          <w:szCs w:val="22"/>
          <w:lang w:val="el-GR"/>
        </w:rPr>
        <w:t>το ποσοστό δαπανών</w:t>
      </w:r>
      <w:r w:rsidR="006C6986">
        <w:rPr>
          <w:rFonts w:ascii="Verdana" w:hAnsi="Verdana"/>
          <w:b/>
          <w:sz w:val="22"/>
          <w:szCs w:val="22"/>
          <w:lang w:val="el-GR"/>
        </w:rPr>
        <w:t xml:space="preserve"> </w:t>
      </w:r>
      <w:r w:rsidR="00377BDC" w:rsidRPr="00BC6BF6">
        <w:rPr>
          <w:rFonts w:ascii="Verdana" w:hAnsi="Verdana"/>
          <w:b/>
          <w:sz w:val="22"/>
          <w:szCs w:val="22"/>
          <w:lang w:val="el-GR"/>
        </w:rPr>
        <w:t xml:space="preserve">για Έρευνα &amp; Ανάπτυξη </w:t>
      </w:r>
      <w:r w:rsidR="006C6986">
        <w:rPr>
          <w:rFonts w:ascii="Verdana" w:hAnsi="Verdana"/>
          <w:b/>
          <w:sz w:val="22"/>
          <w:szCs w:val="22"/>
          <w:lang w:val="el-GR"/>
        </w:rPr>
        <w:br/>
      </w:r>
      <w:r w:rsidR="006A21EB" w:rsidRPr="00BC6BF6">
        <w:rPr>
          <w:rFonts w:ascii="Verdana" w:hAnsi="Verdana"/>
          <w:b/>
          <w:sz w:val="22"/>
          <w:szCs w:val="22"/>
          <w:lang w:val="el-GR"/>
        </w:rPr>
        <w:t>το 201</w:t>
      </w:r>
      <w:r w:rsidRPr="00BC6BF6">
        <w:rPr>
          <w:rFonts w:ascii="Verdana" w:hAnsi="Verdana"/>
          <w:b/>
          <w:sz w:val="22"/>
          <w:szCs w:val="22"/>
          <w:lang w:val="el-GR"/>
        </w:rPr>
        <w:t xml:space="preserve">7 </w:t>
      </w:r>
      <w:r w:rsidR="006A21EB" w:rsidRPr="00BC6BF6">
        <w:rPr>
          <w:rFonts w:ascii="Verdana" w:hAnsi="Verdana"/>
          <w:b/>
          <w:sz w:val="22"/>
          <w:szCs w:val="22"/>
          <w:lang w:val="el-GR"/>
        </w:rPr>
        <w:t>στην Ελλάδα</w:t>
      </w:r>
    </w:p>
    <w:p w:rsidR="00EF5AC3" w:rsidRPr="00BC6BF6" w:rsidRDefault="00BC6BF6" w:rsidP="0077580B">
      <w:pPr>
        <w:jc w:val="center"/>
        <w:rPr>
          <w:rFonts w:ascii="Verdana" w:hAnsi="Verdana"/>
          <w:i/>
          <w:sz w:val="22"/>
          <w:szCs w:val="22"/>
          <w:lang w:val="el-GR"/>
        </w:rPr>
      </w:pPr>
      <w:r w:rsidRPr="00BC6BF6">
        <w:rPr>
          <w:rFonts w:ascii="Verdana" w:hAnsi="Verdana"/>
          <w:i/>
          <w:sz w:val="22"/>
          <w:szCs w:val="22"/>
          <w:lang w:val="el-GR"/>
        </w:rPr>
        <w:t xml:space="preserve">Αυξήθηκαν οι δαπάνες για Ε&amp;Α σύμφωνα με </w:t>
      </w:r>
      <w:r w:rsidR="00EF5AC3" w:rsidRPr="00BC6BF6">
        <w:rPr>
          <w:rFonts w:ascii="Verdana" w:hAnsi="Verdana"/>
          <w:i/>
          <w:sz w:val="22"/>
          <w:szCs w:val="22"/>
          <w:lang w:val="el-GR"/>
        </w:rPr>
        <w:t>τ</w:t>
      </w:r>
      <w:r w:rsidR="00525F63" w:rsidRPr="00BC6BF6">
        <w:rPr>
          <w:rFonts w:ascii="Verdana" w:hAnsi="Verdana"/>
          <w:i/>
          <w:sz w:val="22"/>
          <w:szCs w:val="22"/>
          <w:lang w:val="el-GR"/>
        </w:rPr>
        <w:t xml:space="preserve">α </w:t>
      </w:r>
      <w:r w:rsidRPr="00BC6BF6">
        <w:rPr>
          <w:rFonts w:ascii="Verdana" w:hAnsi="Verdana"/>
          <w:i/>
          <w:sz w:val="22"/>
          <w:szCs w:val="22"/>
          <w:lang w:val="el-GR"/>
        </w:rPr>
        <w:t>π</w:t>
      </w:r>
      <w:r w:rsidR="00130EA6" w:rsidRPr="00BC6BF6">
        <w:rPr>
          <w:rFonts w:ascii="Verdana" w:hAnsi="Verdana"/>
          <w:i/>
          <w:sz w:val="22"/>
          <w:szCs w:val="22"/>
          <w:lang w:val="el-GR"/>
        </w:rPr>
        <w:t xml:space="preserve">ροκαταρκτικά </w:t>
      </w:r>
      <w:r w:rsidR="006A21EB" w:rsidRPr="00BC6BF6">
        <w:rPr>
          <w:rFonts w:ascii="Verdana" w:hAnsi="Verdana"/>
          <w:i/>
          <w:sz w:val="22"/>
          <w:szCs w:val="22"/>
          <w:lang w:val="el-GR"/>
        </w:rPr>
        <w:t>στοιχεία</w:t>
      </w:r>
      <w:r w:rsidR="00067BEF" w:rsidRPr="00BC6BF6">
        <w:rPr>
          <w:rFonts w:ascii="Verdana" w:hAnsi="Verdana"/>
          <w:i/>
          <w:sz w:val="22"/>
          <w:szCs w:val="22"/>
          <w:lang w:val="el-GR"/>
        </w:rPr>
        <w:t xml:space="preserve"> </w:t>
      </w:r>
    </w:p>
    <w:p w:rsidR="009A535F" w:rsidRPr="006A21EB" w:rsidRDefault="0049150D" w:rsidP="0077580B">
      <w:pPr>
        <w:jc w:val="center"/>
        <w:rPr>
          <w:rFonts w:ascii="Verdana" w:hAnsi="Verdana"/>
          <w:i/>
          <w:sz w:val="22"/>
          <w:szCs w:val="22"/>
          <w:lang w:val="el-GR"/>
        </w:rPr>
      </w:pPr>
      <w:r w:rsidRPr="00BC6BF6">
        <w:rPr>
          <w:rFonts w:ascii="Verdana" w:hAnsi="Verdana"/>
          <w:i/>
          <w:sz w:val="22"/>
          <w:szCs w:val="22"/>
          <w:lang w:val="el-GR"/>
        </w:rPr>
        <w:t>του Εθνικού Κέντρου Τεκμηρίωσης</w:t>
      </w:r>
      <w:r>
        <w:rPr>
          <w:rFonts w:ascii="Verdana" w:hAnsi="Verdana"/>
          <w:i/>
          <w:sz w:val="22"/>
          <w:szCs w:val="22"/>
          <w:lang w:val="el-GR"/>
        </w:rPr>
        <w:t xml:space="preserve"> </w:t>
      </w:r>
    </w:p>
    <w:p w:rsidR="007A71D0" w:rsidRPr="00E139F5" w:rsidRDefault="00E959EF" w:rsidP="0077580B">
      <w:pPr>
        <w:jc w:val="center"/>
        <w:rPr>
          <w:rFonts w:ascii="Verdana" w:hAnsi="Verdana"/>
          <w:sz w:val="16"/>
          <w:szCs w:val="16"/>
          <w:lang w:val="el-GR" w:eastAsia="el-GR"/>
        </w:rPr>
      </w:pPr>
      <w:r w:rsidRPr="00E139F5">
        <w:rPr>
          <w:rFonts w:ascii="Verdana" w:hAnsi="Verdana"/>
          <w:b/>
          <w:sz w:val="16"/>
          <w:szCs w:val="16"/>
          <w:lang w:val="el-GR"/>
        </w:rPr>
        <w:t xml:space="preserve"> </w:t>
      </w:r>
    </w:p>
    <w:p w:rsidR="0049150D" w:rsidRPr="00C40D3B" w:rsidRDefault="00BC6BF6" w:rsidP="0077580B">
      <w:pPr>
        <w:jc w:val="both"/>
        <w:rPr>
          <w:rFonts w:ascii="Verdana" w:hAnsi="Verdana"/>
          <w:sz w:val="20"/>
          <w:lang w:val="el-GR" w:eastAsia="el-GR"/>
        </w:rPr>
      </w:pPr>
      <w:r>
        <w:rPr>
          <w:rFonts w:ascii="Verdana" w:hAnsi="Verdana"/>
          <w:sz w:val="20"/>
          <w:lang w:val="el-GR" w:eastAsia="el-GR"/>
        </w:rPr>
        <w:t>Στ</w:t>
      </w:r>
      <w:r w:rsidR="00614D0C">
        <w:rPr>
          <w:rFonts w:ascii="Verdana" w:hAnsi="Verdana"/>
          <w:sz w:val="20"/>
          <w:lang w:val="el-GR" w:eastAsia="el-GR"/>
        </w:rPr>
        <w:t xml:space="preserve">ο 1,14% </w:t>
      </w:r>
      <w:r w:rsidR="00614D0C" w:rsidRPr="00614D0C">
        <w:rPr>
          <w:rFonts w:ascii="Verdana" w:hAnsi="Verdana"/>
          <w:sz w:val="20"/>
          <w:lang w:val="el-GR" w:eastAsia="el-GR"/>
        </w:rPr>
        <w:t>διαμορφώθηκε το 201</w:t>
      </w:r>
      <w:r w:rsidR="00614D0C">
        <w:rPr>
          <w:rFonts w:ascii="Verdana" w:hAnsi="Verdana"/>
          <w:sz w:val="20"/>
          <w:lang w:val="el-GR" w:eastAsia="el-GR"/>
        </w:rPr>
        <w:t>7</w:t>
      </w:r>
      <w:r w:rsidR="00614D0C" w:rsidRPr="00614D0C">
        <w:rPr>
          <w:rFonts w:ascii="Verdana" w:hAnsi="Verdana"/>
          <w:sz w:val="20"/>
          <w:lang w:val="el-GR" w:eastAsia="el-GR"/>
        </w:rPr>
        <w:t xml:space="preserve"> το ποσοστό των δαπανών Έρευνας &amp; Ανάπτυξης (Ε&amp;Α) επί του ΑΕΠ,</w:t>
      </w:r>
      <w:r w:rsidR="00E32973">
        <w:rPr>
          <w:rFonts w:ascii="Verdana" w:hAnsi="Verdana"/>
          <w:sz w:val="20"/>
          <w:lang w:val="el-GR" w:eastAsia="el-GR"/>
        </w:rPr>
        <w:t xml:space="preserve"> </w:t>
      </w:r>
      <w:r w:rsidR="00377BDC">
        <w:rPr>
          <w:rFonts w:ascii="Verdana" w:hAnsi="Verdana"/>
          <w:sz w:val="20"/>
          <w:lang w:val="el-GR" w:eastAsia="el-GR"/>
        </w:rPr>
        <w:t xml:space="preserve">σύμφωνα με τα </w:t>
      </w:r>
      <w:r w:rsidR="00E32973">
        <w:rPr>
          <w:rFonts w:ascii="Verdana" w:hAnsi="Verdana"/>
          <w:sz w:val="20"/>
          <w:lang w:val="el-GR" w:eastAsia="el-GR"/>
        </w:rPr>
        <w:t xml:space="preserve">προκαταρκτικά </w:t>
      </w:r>
      <w:r w:rsidR="00377BDC">
        <w:rPr>
          <w:rFonts w:ascii="Verdana" w:hAnsi="Verdana"/>
          <w:sz w:val="20"/>
          <w:lang w:val="el-GR" w:eastAsia="el-GR"/>
        </w:rPr>
        <w:t xml:space="preserve">στοιχεία </w:t>
      </w:r>
      <w:r w:rsidR="0096794A" w:rsidRPr="00C7187A">
        <w:rPr>
          <w:rFonts w:ascii="Verdana" w:hAnsi="Verdana"/>
          <w:sz w:val="20"/>
          <w:lang w:val="el-GR" w:eastAsia="el-GR"/>
        </w:rPr>
        <w:t>που δημοσίευσε το Εθνικό Κέντρο</w:t>
      </w:r>
      <w:r w:rsidR="0096794A" w:rsidRPr="00A35E84">
        <w:rPr>
          <w:rFonts w:ascii="Verdana" w:hAnsi="Verdana"/>
          <w:sz w:val="20"/>
          <w:lang w:val="el-GR" w:eastAsia="el-GR"/>
        </w:rPr>
        <w:t xml:space="preserve"> Τεκμηρίωσης </w:t>
      </w:r>
      <w:r w:rsidR="004065CE" w:rsidRPr="00A35E84">
        <w:rPr>
          <w:rFonts w:ascii="Verdana" w:hAnsi="Verdana"/>
          <w:sz w:val="20"/>
          <w:lang w:val="el-GR" w:eastAsia="el-GR"/>
        </w:rPr>
        <w:t>(ΕΚΤ)</w:t>
      </w:r>
      <w:r w:rsidR="0077580B" w:rsidRPr="00A35E84">
        <w:rPr>
          <w:rFonts w:ascii="Verdana" w:hAnsi="Verdana"/>
          <w:sz w:val="20"/>
          <w:lang w:val="el-GR" w:eastAsia="el-GR"/>
        </w:rPr>
        <w:t xml:space="preserve"> και έχουν αποσταλεί στη </w:t>
      </w:r>
      <w:r w:rsidR="0077580B" w:rsidRPr="00A35E84">
        <w:rPr>
          <w:rFonts w:ascii="Verdana" w:hAnsi="Verdana"/>
          <w:sz w:val="20"/>
          <w:lang w:val="en-US" w:eastAsia="el-GR"/>
        </w:rPr>
        <w:t>Eurostat</w:t>
      </w:r>
      <w:r w:rsidR="004065CE" w:rsidRPr="00A35E84">
        <w:rPr>
          <w:rFonts w:ascii="Verdana" w:hAnsi="Verdana"/>
          <w:sz w:val="20"/>
          <w:lang w:val="el-GR" w:eastAsia="el-GR"/>
        </w:rPr>
        <w:t xml:space="preserve">. </w:t>
      </w:r>
      <w:r w:rsidR="00DD5554" w:rsidRPr="00A35E84">
        <w:rPr>
          <w:rFonts w:ascii="Verdana" w:hAnsi="Verdana"/>
          <w:sz w:val="20"/>
          <w:lang w:val="el-GR" w:eastAsia="el-GR"/>
        </w:rPr>
        <w:t xml:space="preserve">Η δημοσίευση των δεικτών </w:t>
      </w:r>
      <w:r w:rsidR="00016B9D">
        <w:rPr>
          <w:rFonts w:ascii="Verdana" w:hAnsi="Verdana"/>
          <w:sz w:val="20"/>
          <w:lang w:val="el-GR" w:eastAsia="el-GR"/>
        </w:rPr>
        <w:t>(</w:t>
      </w:r>
      <w:hyperlink r:id="rId10" w:history="1">
        <w:r w:rsidR="00016B9D" w:rsidRPr="00064A90">
          <w:rPr>
            <w:rStyle w:val="-"/>
            <w:rFonts w:ascii="Verdana" w:hAnsi="Verdana"/>
            <w:sz w:val="20"/>
            <w:lang w:val="el-GR" w:eastAsia="el-GR"/>
          </w:rPr>
          <w:t>http://metrics.ekt.gr/el/node/378</w:t>
        </w:r>
      </w:hyperlink>
      <w:r w:rsidR="00016B9D">
        <w:rPr>
          <w:rFonts w:ascii="Verdana" w:hAnsi="Verdana"/>
          <w:sz w:val="20"/>
          <w:lang w:val="el-GR" w:eastAsia="el-GR"/>
        </w:rPr>
        <w:t>)</w:t>
      </w:r>
      <w:r w:rsidR="00016B9D" w:rsidRPr="00016B9D">
        <w:rPr>
          <w:rFonts w:ascii="Verdana" w:hAnsi="Verdana"/>
          <w:sz w:val="20"/>
          <w:lang w:val="el-GR" w:eastAsia="el-GR"/>
        </w:rPr>
        <w:t xml:space="preserve"> ε</w:t>
      </w:r>
      <w:r w:rsidR="00B065C0">
        <w:rPr>
          <w:rFonts w:ascii="Verdana" w:hAnsi="Verdana"/>
          <w:sz w:val="20"/>
          <w:lang w:val="el-GR" w:eastAsia="el-GR"/>
        </w:rPr>
        <w:t>ν</w:t>
      </w:r>
      <w:r w:rsidR="004065CE" w:rsidRPr="00A35E84">
        <w:rPr>
          <w:rFonts w:ascii="Verdana" w:hAnsi="Verdana"/>
          <w:sz w:val="20"/>
          <w:lang w:val="el-GR" w:eastAsia="el-GR"/>
        </w:rPr>
        <w:t xml:space="preserve">τάσσεται στο </w:t>
      </w:r>
      <w:r w:rsidR="0096794A" w:rsidRPr="00A35E84">
        <w:rPr>
          <w:rFonts w:ascii="Verdana" w:hAnsi="Verdana"/>
          <w:sz w:val="20"/>
          <w:lang w:val="el-GR" w:eastAsia="el-GR"/>
        </w:rPr>
        <w:t xml:space="preserve">πλαίσιο της τακτικής παραγωγής των επίσημων </w:t>
      </w:r>
      <w:r w:rsidR="007A13C3" w:rsidRPr="00A35E84">
        <w:rPr>
          <w:rFonts w:ascii="Verdana" w:hAnsi="Verdana"/>
          <w:sz w:val="20"/>
          <w:lang w:val="el-GR" w:eastAsia="el-GR"/>
        </w:rPr>
        <w:t xml:space="preserve">στατιστικών </w:t>
      </w:r>
      <w:r w:rsidR="0096794A" w:rsidRPr="00A35E84">
        <w:rPr>
          <w:rFonts w:ascii="Verdana" w:hAnsi="Verdana"/>
          <w:sz w:val="20"/>
          <w:lang w:val="el-GR" w:eastAsia="el-GR"/>
        </w:rPr>
        <w:t>για την Έρευνα, Ανάπτυξη και Καινοτομία στην Ελλάδα,</w:t>
      </w:r>
      <w:r w:rsidR="004065CE" w:rsidRPr="00A35E84">
        <w:rPr>
          <w:rFonts w:ascii="Verdana" w:hAnsi="Verdana"/>
          <w:sz w:val="20"/>
          <w:lang w:val="el-GR" w:eastAsia="el-GR"/>
        </w:rPr>
        <w:t xml:space="preserve"> που πραγματοποιεί το ΕΚΤ</w:t>
      </w:r>
      <w:r w:rsidR="00DA0206">
        <w:rPr>
          <w:rFonts w:ascii="Verdana" w:hAnsi="Verdana"/>
          <w:sz w:val="20"/>
          <w:lang w:val="el-GR" w:eastAsia="el-GR"/>
        </w:rPr>
        <w:t>,</w:t>
      </w:r>
      <w:r w:rsidR="0096794A" w:rsidRPr="00A35E84">
        <w:rPr>
          <w:rFonts w:ascii="Verdana" w:hAnsi="Verdana"/>
          <w:sz w:val="20"/>
          <w:lang w:val="el-GR" w:eastAsia="el-GR"/>
        </w:rPr>
        <w:t xml:space="preserve"> </w:t>
      </w:r>
      <w:r w:rsidR="00687A3F">
        <w:rPr>
          <w:rFonts w:ascii="Verdana" w:hAnsi="Verdana"/>
          <w:sz w:val="20"/>
          <w:lang w:val="el-GR" w:eastAsia="el-GR"/>
        </w:rPr>
        <w:t>ως φορέα</w:t>
      </w:r>
      <w:r w:rsidR="00DA0206">
        <w:rPr>
          <w:rFonts w:ascii="Verdana" w:hAnsi="Verdana"/>
          <w:sz w:val="20"/>
          <w:lang w:val="el-GR" w:eastAsia="el-GR"/>
        </w:rPr>
        <w:t>ς</w:t>
      </w:r>
      <w:r w:rsidR="00687A3F">
        <w:rPr>
          <w:rFonts w:ascii="Verdana" w:hAnsi="Verdana"/>
          <w:sz w:val="20"/>
          <w:lang w:val="el-GR" w:eastAsia="el-GR"/>
        </w:rPr>
        <w:t xml:space="preserve"> </w:t>
      </w:r>
      <w:r w:rsidR="00927AD2">
        <w:rPr>
          <w:rFonts w:ascii="Verdana" w:hAnsi="Verdana"/>
          <w:sz w:val="20"/>
          <w:lang w:val="el-GR" w:eastAsia="el-GR"/>
        </w:rPr>
        <w:t xml:space="preserve">και εθνική αρχή </w:t>
      </w:r>
      <w:r w:rsidR="00687A3F">
        <w:rPr>
          <w:rFonts w:ascii="Verdana" w:hAnsi="Verdana"/>
          <w:sz w:val="20"/>
          <w:lang w:val="el-GR" w:eastAsia="el-GR"/>
        </w:rPr>
        <w:t>του Ελληνικού Στατιστικού Συστήματος</w:t>
      </w:r>
      <w:r w:rsidR="00DA0206">
        <w:rPr>
          <w:rFonts w:ascii="Verdana" w:hAnsi="Verdana"/>
          <w:sz w:val="20"/>
          <w:lang w:val="el-GR" w:eastAsia="el-GR"/>
        </w:rPr>
        <w:t>,</w:t>
      </w:r>
      <w:r w:rsidR="00687A3F">
        <w:rPr>
          <w:rFonts w:ascii="Verdana" w:hAnsi="Verdana"/>
          <w:sz w:val="20"/>
          <w:lang w:val="el-GR" w:eastAsia="el-GR"/>
        </w:rPr>
        <w:t xml:space="preserve"> με τη </w:t>
      </w:r>
      <w:r w:rsidR="0096794A" w:rsidRPr="00A35E84">
        <w:rPr>
          <w:rFonts w:ascii="Verdana" w:hAnsi="Verdana"/>
          <w:sz w:val="20"/>
          <w:lang w:val="el-GR" w:eastAsia="el-GR"/>
        </w:rPr>
        <w:t>συνεργασία τη</w:t>
      </w:r>
      <w:r w:rsidR="00687A3F">
        <w:rPr>
          <w:rFonts w:ascii="Verdana" w:hAnsi="Verdana"/>
          <w:sz w:val="20"/>
          <w:lang w:val="el-GR" w:eastAsia="el-GR"/>
        </w:rPr>
        <w:t>ς</w:t>
      </w:r>
      <w:r w:rsidR="0096794A" w:rsidRPr="00A35E84">
        <w:rPr>
          <w:rFonts w:ascii="Verdana" w:hAnsi="Verdana"/>
          <w:sz w:val="20"/>
          <w:lang w:val="el-GR" w:eastAsia="el-GR"/>
        </w:rPr>
        <w:t xml:space="preserve"> Ελληνική</w:t>
      </w:r>
      <w:r w:rsidR="00687A3F">
        <w:rPr>
          <w:rFonts w:ascii="Verdana" w:hAnsi="Verdana"/>
          <w:sz w:val="20"/>
          <w:lang w:val="el-GR" w:eastAsia="el-GR"/>
        </w:rPr>
        <w:t>ς</w:t>
      </w:r>
      <w:r w:rsidR="0096794A" w:rsidRPr="00A35E84">
        <w:rPr>
          <w:rFonts w:ascii="Verdana" w:hAnsi="Verdana"/>
          <w:sz w:val="20"/>
          <w:lang w:val="el-GR" w:eastAsia="el-GR"/>
        </w:rPr>
        <w:t xml:space="preserve"> Στατιστική</w:t>
      </w:r>
      <w:r w:rsidR="00687A3F">
        <w:rPr>
          <w:rFonts w:ascii="Verdana" w:hAnsi="Verdana"/>
          <w:sz w:val="20"/>
          <w:lang w:val="el-GR" w:eastAsia="el-GR"/>
        </w:rPr>
        <w:t>ς</w:t>
      </w:r>
      <w:r w:rsidR="0096794A" w:rsidRPr="00A35E84">
        <w:rPr>
          <w:rFonts w:ascii="Verdana" w:hAnsi="Verdana"/>
          <w:sz w:val="20"/>
          <w:lang w:val="el-GR" w:eastAsia="el-GR"/>
        </w:rPr>
        <w:t xml:space="preserve"> Αρχή</w:t>
      </w:r>
      <w:r w:rsidR="00687A3F">
        <w:rPr>
          <w:rFonts w:ascii="Verdana" w:hAnsi="Verdana"/>
          <w:sz w:val="20"/>
          <w:lang w:val="el-GR" w:eastAsia="el-GR"/>
        </w:rPr>
        <w:t>ς</w:t>
      </w:r>
      <w:r w:rsidR="0096794A" w:rsidRPr="00A35E84">
        <w:rPr>
          <w:rFonts w:ascii="Verdana" w:hAnsi="Verdana"/>
          <w:sz w:val="20"/>
          <w:lang w:val="el-GR" w:eastAsia="el-GR"/>
        </w:rPr>
        <w:t>.</w:t>
      </w:r>
    </w:p>
    <w:p w:rsidR="001759D9" w:rsidRDefault="0090039D" w:rsidP="0090039D">
      <w:pPr>
        <w:jc w:val="both"/>
        <w:rPr>
          <w:rFonts w:ascii="Verdana" w:eastAsia="Calibri" w:hAnsi="Verdana"/>
          <w:sz w:val="20"/>
          <w:lang w:val="el-GR"/>
        </w:rPr>
      </w:pPr>
      <w:r w:rsidRPr="0090039D">
        <w:rPr>
          <w:rFonts w:ascii="Verdana" w:eastAsia="Calibri" w:hAnsi="Verdana"/>
          <w:sz w:val="20"/>
          <w:lang w:val="el-GR"/>
        </w:rPr>
        <w:t xml:space="preserve"> </w:t>
      </w:r>
    </w:p>
    <w:p w:rsidR="00BC6BF6" w:rsidRDefault="00D54652" w:rsidP="0090039D">
      <w:pPr>
        <w:jc w:val="both"/>
        <w:rPr>
          <w:rFonts w:ascii="Verdana" w:eastAsia="Calibri" w:hAnsi="Verdana"/>
          <w:sz w:val="20"/>
          <w:lang w:val="el-GR"/>
        </w:rPr>
      </w:pPr>
      <w:r>
        <w:rPr>
          <w:rFonts w:ascii="Verdana" w:eastAsia="Calibri" w:hAnsi="Verdana"/>
          <w:sz w:val="20"/>
          <w:lang w:val="el-GR"/>
        </w:rPr>
        <w:t>Σ</w:t>
      </w:r>
      <w:r w:rsidR="004D5862" w:rsidRPr="0090039D">
        <w:rPr>
          <w:rFonts w:ascii="Verdana" w:eastAsia="Calibri" w:hAnsi="Verdana"/>
          <w:sz w:val="20"/>
          <w:lang w:val="el-GR"/>
        </w:rPr>
        <w:t>υνεχίζο</w:t>
      </w:r>
      <w:r>
        <w:rPr>
          <w:rFonts w:ascii="Verdana" w:eastAsia="Calibri" w:hAnsi="Verdana"/>
          <w:sz w:val="20"/>
          <w:lang w:val="el-GR"/>
        </w:rPr>
        <w:t xml:space="preserve">ντας </w:t>
      </w:r>
      <w:r w:rsidR="004D5862" w:rsidRPr="0090039D">
        <w:rPr>
          <w:rFonts w:ascii="Verdana" w:eastAsia="Calibri" w:hAnsi="Verdana"/>
          <w:sz w:val="20"/>
          <w:lang w:val="el-GR"/>
        </w:rPr>
        <w:t>την αυξητική πορεία των τελευταίων ετών</w:t>
      </w:r>
      <w:r w:rsidR="001D0F5B">
        <w:rPr>
          <w:rFonts w:ascii="Verdana" w:eastAsia="Calibri" w:hAnsi="Verdana"/>
          <w:sz w:val="20"/>
          <w:lang w:val="el-GR"/>
        </w:rPr>
        <w:t xml:space="preserve">, οι δαπάνες που πραγματοποιήθηκαν για Ε&amp;Α το 2017 </w:t>
      </w:r>
      <w:r w:rsidR="00820758">
        <w:rPr>
          <w:rFonts w:ascii="Verdana" w:eastAsia="Calibri" w:hAnsi="Verdana"/>
          <w:sz w:val="20"/>
          <w:lang w:val="el-GR"/>
        </w:rPr>
        <w:t xml:space="preserve">στην Ελλάδα </w:t>
      </w:r>
      <w:r w:rsidR="001D0F5B">
        <w:rPr>
          <w:rFonts w:ascii="Verdana" w:eastAsia="Calibri" w:hAnsi="Verdana"/>
          <w:sz w:val="20"/>
          <w:lang w:val="el-GR"/>
        </w:rPr>
        <w:t>ήταν 2.033</w:t>
      </w:r>
      <w:r w:rsidR="001D0F5B" w:rsidRPr="0090039D">
        <w:rPr>
          <w:rFonts w:ascii="Verdana" w:eastAsia="Calibri" w:hAnsi="Verdana"/>
          <w:sz w:val="20"/>
          <w:lang w:val="el-GR"/>
        </w:rPr>
        <w:t xml:space="preserve"> εκατ. ευρώ</w:t>
      </w:r>
      <w:r w:rsidR="001D0F5B">
        <w:rPr>
          <w:rFonts w:ascii="Verdana" w:eastAsia="Calibri" w:hAnsi="Verdana"/>
          <w:sz w:val="20"/>
          <w:lang w:val="el-GR"/>
        </w:rPr>
        <w:t xml:space="preserve">, κατά 15,9% υψηλότερες σε σχέση με το 2016. </w:t>
      </w:r>
    </w:p>
    <w:p w:rsidR="00BC6BF6" w:rsidRDefault="00BC6BF6" w:rsidP="0090039D">
      <w:pPr>
        <w:jc w:val="both"/>
        <w:rPr>
          <w:rFonts w:ascii="Verdana" w:eastAsia="Calibri" w:hAnsi="Verdana"/>
          <w:sz w:val="20"/>
          <w:lang w:val="el-GR"/>
        </w:rPr>
      </w:pPr>
    </w:p>
    <w:p w:rsidR="0077580B" w:rsidRPr="00A35E84" w:rsidRDefault="00614D0C" w:rsidP="0077580B">
      <w:pPr>
        <w:jc w:val="both"/>
        <w:rPr>
          <w:rFonts w:ascii="Verdana" w:eastAsia="Calibri" w:hAnsi="Verdana"/>
          <w:sz w:val="20"/>
          <w:lang w:val="el-GR"/>
        </w:rPr>
      </w:pPr>
      <w:r w:rsidRPr="00614D0C">
        <w:rPr>
          <w:rFonts w:ascii="Verdana" w:eastAsia="Calibri" w:hAnsi="Verdana"/>
          <w:sz w:val="20"/>
          <w:lang w:val="el-GR"/>
        </w:rPr>
        <w:t>Ο δείκτης "Ένταση Ε&amp;Α", που εκφράζει τις δαπάνες Ε&amp;Α ως ποσοστό του ΑΕΠ, αυξήθηκε κατά 0,13 ποσοστιαίες μονάδες</w:t>
      </w:r>
      <w:r w:rsidR="00BB28CB" w:rsidRPr="00BB28CB">
        <w:rPr>
          <w:rFonts w:ascii="Verdana" w:eastAsia="Calibri" w:hAnsi="Verdana"/>
          <w:sz w:val="20"/>
          <w:lang w:val="el-GR"/>
        </w:rPr>
        <w:t xml:space="preserve">, και </w:t>
      </w:r>
      <w:r w:rsidRPr="00614D0C">
        <w:rPr>
          <w:rFonts w:ascii="Verdana" w:eastAsia="Calibri" w:hAnsi="Verdana"/>
          <w:sz w:val="20"/>
          <w:lang w:val="el-GR"/>
        </w:rPr>
        <w:t>διαμορφώθηκε στο 1,14%, από 1,01% το 2016.</w:t>
      </w:r>
      <w:r w:rsidR="003B016B">
        <w:rPr>
          <w:rFonts w:ascii="Verdana" w:eastAsia="Calibri" w:hAnsi="Verdana"/>
          <w:sz w:val="20"/>
          <w:lang w:val="el-GR"/>
        </w:rPr>
        <w:t xml:space="preserve"> </w:t>
      </w:r>
      <w:r w:rsidR="00BC6BF6" w:rsidRPr="00BC6BF6">
        <w:rPr>
          <w:rFonts w:ascii="Verdana" w:eastAsia="Calibri" w:hAnsi="Verdana"/>
          <w:sz w:val="20"/>
          <w:lang w:val="el-GR"/>
        </w:rPr>
        <w:t>Με βάση τ</w:t>
      </w:r>
      <w:r w:rsidR="00C8473A">
        <w:rPr>
          <w:rFonts w:ascii="Verdana" w:eastAsia="Calibri" w:hAnsi="Verdana"/>
          <w:sz w:val="20"/>
          <w:lang w:val="el-GR"/>
        </w:rPr>
        <w:t>α νέα στοιχεία</w:t>
      </w:r>
      <w:r w:rsidR="00BC6BF6" w:rsidRPr="00BC6BF6">
        <w:rPr>
          <w:rFonts w:ascii="Verdana" w:eastAsia="Calibri" w:hAnsi="Verdana"/>
          <w:sz w:val="20"/>
          <w:lang w:val="el-GR"/>
        </w:rPr>
        <w:t>, η Ελλάδα κατατάσσεται στη 19</w:t>
      </w:r>
      <w:r w:rsidR="00BC6BF6" w:rsidRPr="00661411">
        <w:rPr>
          <w:rFonts w:ascii="Verdana" w:eastAsia="Calibri" w:hAnsi="Verdana"/>
          <w:sz w:val="20"/>
          <w:vertAlign w:val="superscript"/>
          <w:lang w:val="el-GR"/>
        </w:rPr>
        <w:t>η</w:t>
      </w:r>
      <w:r w:rsidR="00661411">
        <w:rPr>
          <w:rFonts w:ascii="Verdana" w:eastAsia="Calibri" w:hAnsi="Verdana"/>
          <w:sz w:val="20"/>
          <w:lang w:val="el-GR"/>
        </w:rPr>
        <w:t xml:space="preserve"> </w:t>
      </w:r>
      <w:r w:rsidR="00BC6BF6" w:rsidRPr="00BC6BF6">
        <w:rPr>
          <w:rFonts w:ascii="Verdana" w:eastAsia="Calibri" w:hAnsi="Verdana"/>
          <w:sz w:val="20"/>
          <w:lang w:val="el-GR"/>
        </w:rPr>
        <w:t xml:space="preserve">θέση μεταξύ των κρατών μελών της ΕΕ28, προσεγγίζοντας χώρες όπως η Ιρλανδία και η Ισπανία. </w:t>
      </w:r>
    </w:p>
    <w:p w:rsidR="00BB28CB" w:rsidRDefault="00BB28CB" w:rsidP="009F616C">
      <w:pPr>
        <w:jc w:val="both"/>
        <w:rPr>
          <w:rFonts w:ascii="Verdana" w:hAnsi="Verdana"/>
          <w:sz w:val="20"/>
          <w:lang w:val="el-GR" w:eastAsia="el-GR"/>
        </w:rPr>
      </w:pPr>
    </w:p>
    <w:p w:rsidR="007D3C8D" w:rsidRDefault="007D3C8D" w:rsidP="009F616C">
      <w:pPr>
        <w:jc w:val="both"/>
        <w:rPr>
          <w:rFonts w:ascii="Verdana" w:hAnsi="Verdana"/>
          <w:sz w:val="20"/>
          <w:lang w:val="el-GR" w:eastAsia="el-GR"/>
        </w:rPr>
      </w:pPr>
      <w:r>
        <w:rPr>
          <w:rFonts w:ascii="Verdana" w:hAnsi="Verdana"/>
          <w:sz w:val="20"/>
          <w:lang w:val="el-GR" w:eastAsia="el-GR"/>
        </w:rPr>
        <w:t xml:space="preserve">Η </w:t>
      </w:r>
      <w:r w:rsidR="00130EA6">
        <w:rPr>
          <w:rFonts w:ascii="Verdana" w:hAnsi="Verdana"/>
          <w:sz w:val="20"/>
          <w:lang w:val="el-GR" w:eastAsia="el-GR"/>
        </w:rPr>
        <w:t xml:space="preserve">πανελλήνια </w:t>
      </w:r>
      <w:r>
        <w:rPr>
          <w:rFonts w:ascii="Verdana" w:hAnsi="Verdana"/>
          <w:sz w:val="20"/>
          <w:lang w:val="el-GR" w:eastAsia="el-GR"/>
        </w:rPr>
        <w:t xml:space="preserve">στατιστική έρευνα του ΕΚΤ </w:t>
      </w:r>
      <w:r w:rsidR="00C8473A">
        <w:rPr>
          <w:rFonts w:ascii="Verdana" w:hAnsi="Verdana"/>
          <w:sz w:val="20"/>
          <w:lang w:val="el-GR" w:eastAsia="el-GR"/>
        </w:rPr>
        <w:t xml:space="preserve">για την καταγραφή των δαπανών Ε&amp;Α στη χώρα </w:t>
      </w:r>
      <w:r>
        <w:rPr>
          <w:rFonts w:ascii="Verdana" w:hAnsi="Verdana"/>
          <w:sz w:val="20"/>
          <w:lang w:val="el-GR" w:eastAsia="el-GR"/>
        </w:rPr>
        <w:t xml:space="preserve">διεξήχθη το 2018, ακολουθώντας τις οδηγίες της νέας έκδοσης του εγχειριδίου </w:t>
      </w:r>
      <w:proofErr w:type="spellStart"/>
      <w:r w:rsidR="00336625" w:rsidRPr="00336625">
        <w:rPr>
          <w:rFonts w:ascii="Verdana" w:hAnsi="Verdana"/>
          <w:sz w:val="20"/>
          <w:lang w:val="en-US" w:eastAsia="el-GR"/>
        </w:rPr>
        <w:t>Frascati</w:t>
      </w:r>
      <w:proofErr w:type="spellEnd"/>
      <w:r w:rsidR="00336625" w:rsidRPr="00336625">
        <w:rPr>
          <w:rFonts w:ascii="Verdana" w:hAnsi="Verdana"/>
          <w:sz w:val="20"/>
          <w:lang w:val="el-GR" w:eastAsia="el-GR"/>
        </w:rPr>
        <w:t xml:space="preserve"> (2015): </w:t>
      </w:r>
      <w:r w:rsidR="00336625" w:rsidRPr="00336625">
        <w:rPr>
          <w:rFonts w:ascii="Verdana" w:hAnsi="Verdana"/>
          <w:sz w:val="20"/>
          <w:lang w:val="en-US" w:eastAsia="el-GR"/>
        </w:rPr>
        <w:t>Guidelines</w:t>
      </w:r>
      <w:r w:rsidR="00336625" w:rsidRPr="00336625">
        <w:rPr>
          <w:rFonts w:ascii="Verdana" w:hAnsi="Verdana"/>
          <w:sz w:val="20"/>
          <w:lang w:val="el-GR" w:eastAsia="el-GR"/>
        </w:rPr>
        <w:t xml:space="preserve"> </w:t>
      </w:r>
      <w:r w:rsidR="00336625" w:rsidRPr="00336625">
        <w:rPr>
          <w:rFonts w:ascii="Verdana" w:hAnsi="Verdana"/>
          <w:sz w:val="20"/>
          <w:lang w:val="en-US" w:eastAsia="el-GR"/>
        </w:rPr>
        <w:t>for</w:t>
      </w:r>
      <w:r w:rsidR="00336625" w:rsidRPr="00336625">
        <w:rPr>
          <w:rFonts w:ascii="Verdana" w:hAnsi="Verdana"/>
          <w:sz w:val="20"/>
          <w:lang w:val="el-GR" w:eastAsia="el-GR"/>
        </w:rPr>
        <w:t xml:space="preserve"> </w:t>
      </w:r>
      <w:r w:rsidR="00336625" w:rsidRPr="00336625">
        <w:rPr>
          <w:rFonts w:ascii="Verdana" w:hAnsi="Verdana"/>
          <w:sz w:val="20"/>
          <w:lang w:val="en-US" w:eastAsia="el-GR"/>
        </w:rPr>
        <w:t>Collecting</w:t>
      </w:r>
      <w:r w:rsidR="00336625" w:rsidRPr="00336625">
        <w:rPr>
          <w:rFonts w:ascii="Verdana" w:hAnsi="Verdana"/>
          <w:sz w:val="20"/>
          <w:lang w:val="el-GR" w:eastAsia="el-GR"/>
        </w:rPr>
        <w:t xml:space="preserve"> </w:t>
      </w:r>
      <w:r w:rsidR="00336625" w:rsidRPr="00336625">
        <w:rPr>
          <w:rFonts w:ascii="Verdana" w:hAnsi="Verdana"/>
          <w:sz w:val="20"/>
          <w:lang w:val="en-US" w:eastAsia="el-GR"/>
        </w:rPr>
        <w:t>and</w:t>
      </w:r>
      <w:r w:rsidR="00336625" w:rsidRPr="00336625">
        <w:rPr>
          <w:rFonts w:ascii="Verdana" w:hAnsi="Verdana"/>
          <w:sz w:val="20"/>
          <w:lang w:val="el-GR" w:eastAsia="el-GR"/>
        </w:rPr>
        <w:t xml:space="preserve"> </w:t>
      </w:r>
      <w:r w:rsidR="00336625" w:rsidRPr="00336625">
        <w:rPr>
          <w:rFonts w:ascii="Verdana" w:hAnsi="Verdana"/>
          <w:sz w:val="20"/>
          <w:lang w:val="en-US" w:eastAsia="el-GR"/>
        </w:rPr>
        <w:t>Reporting</w:t>
      </w:r>
      <w:r w:rsidR="00336625" w:rsidRPr="00336625">
        <w:rPr>
          <w:rFonts w:ascii="Verdana" w:hAnsi="Verdana"/>
          <w:sz w:val="20"/>
          <w:lang w:val="el-GR" w:eastAsia="el-GR"/>
        </w:rPr>
        <w:t xml:space="preserve"> </w:t>
      </w:r>
      <w:r w:rsidR="00336625" w:rsidRPr="00336625">
        <w:rPr>
          <w:rFonts w:ascii="Verdana" w:hAnsi="Verdana"/>
          <w:sz w:val="20"/>
          <w:lang w:val="en-US" w:eastAsia="el-GR"/>
        </w:rPr>
        <w:t>Data</w:t>
      </w:r>
      <w:r w:rsidR="00336625" w:rsidRPr="00336625">
        <w:rPr>
          <w:rFonts w:ascii="Verdana" w:hAnsi="Verdana"/>
          <w:sz w:val="20"/>
          <w:lang w:val="el-GR" w:eastAsia="el-GR"/>
        </w:rPr>
        <w:t xml:space="preserve"> </w:t>
      </w:r>
      <w:r w:rsidR="00336625" w:rsidRPr="00336625">
        <w:rPr>
          <w:rFonts w:ascii="Verdana" w:hAnsi="Verdana"/>
          <w:sz w:val="20"/>
          <w:lang w:val="en-US" w:eastAsia="el-GR"/>
        </w:rPr>
        <w:t>on</w:t>
      </w:r>
      <w:r w:rsidR="00336625" w:rsidRPr="00336625">
        <w:rPr>
          <w:rFonts w:ascii="Verdana" w:hAnsi="Verdana"/>
          <w:sz w:val="20"/>
          <w:lang w:val="el-GR" w:eastAsia="el-GR"/>
        </w:rPr>
        <w:t xml:space="preserve"> </w:t>
      </w:r>
      <w:r w:rsidR="00336625" w:rsidRPr="00336625">
        <w:rPr>
          <w:rFonts w:ascii="Verdana" w:hAnsi="Verdana"/>
          <w:sz w:val="20"/>
          <w:lang w:val="en-US" w:eastAsia="el-GR"/>
        </w:rPr>
        <w:t>Research</w:t>
      </w:r>
      <w:r w:rsidR="00336625" w:rsidRPr="00336625">
        <w:rPr>
          <w:rFonts w:ascii="Verdana" w:hAnsi="Verdana"/>
          <w:sz w:val="20"/>
          <w:lang w:val="el-GR" w:eastAsia="el-GR"/>
        </w:rPr>
        <w:t xml:space="preserve"> </w:t>
      </w:r>
      <w:r w:rsidR="00336625" w:rsidRPr="00336625">
        <w:rPr>
          <w:rFonts w:ascii="Verdana" w:hAnsi="Verdana"/>
          <w:sz w:val="20"/>
          <w:lang w:val="en-US" w:eastAsia="el-GR"/>
        </w:rPr>
        <w:t>and</w:t>
      </w:r>
      <w:r w:rsidR="00336625" w:rsidRPr="00336625">
        <w:rPr>
          <w:rFonts w:ascii="Verdana" w:hAnsi="Verdana"/>
          <w:sz w:val="20"/>
          <w:lang w:val="el-GR" w:eastAsia="el-GR"/>
        </w:rPr>
        <w:t xml:space="preserve"> </w:t>
      </w:r>
      <w:r w:rsidR="00336625" w:rsidRPr="00336625">
        <w:rPr>
          <w:rFonts w:ascii="Verdana" w:hAnsi="Verdana"/>
          <w:sz w:val="20"/>
          <w:lang w:val="en-US" w:eastAsia="el-GR"/>
        </w:rPr>
        <w:t>Experimental</w:t>
      </w:r>
      <w:r w:rsidR="00336625" w:rsidRPr="00336625">
        <w:rPr>
          <w:rFonts w:ascii="Verdana" w:hAnsi="Verdana"/>
          <w:sz w:val="20"/>
          <w:lang w:val="el-GR" w:eastAsia="el-GR"/>
        </w:rPr>
        <w:t xml:space="preserve"> </w:t>
      </w:r>
      <w:r w:rsidR="00336625" w:rsidRPr="00336625">
        <w:rPr>
          <w:rFonts w:ascii="Verdana" w:hAnsi="Verdana"/>
          <w:sz w:val="20"/>
          <w:lang w:val="en-US" w:eastAsia="el-GR"/>
        </w:rPr>
        <w:t>Development</w:t>
      </w:r>
      <w:r w:rsidR="00336625" w:rsidRPr="00336625">
        <w:rPr>
          <w:rFonts w:ascii="Verdana" w:hAnsi="Verdana"/>
          <w:sz w:val="20"/>
          <w:lang w:val="el-GR" w:eastAsia="el-GR"/>
        </w:rPr>
        <w:t xml:space="preserve">, </w:t>
      </w:r>
      <w:r w:rsidR="00336625" w:rsidRPr="00336625">
        <w:rPr>
          <w:rFonts w:ascii="Verdana" w:hAnsi="Verdana"/>
          <w:sz w:val="20"/>
          <w:lang w:val="en-US" w:eastAsia="el-GR"/>
        </w:rPr>
        <w:t>The</w:t>
      </w:r>
      <w:r w:rsidR="00336625" w:rsidRPr="00336625">
        <w:rPr>
          <w:rFonts w:ascii="Verdana" w:hAnsi="Verdana"/>
          <w:sz w:val="20"/>
          <w:lang w:val="el-GR" w:eastAsia="el-GR"/>
        </w:rPr>
        <w:t xml:space="preserve"> </w:t>
      </w:r>
      <w:r w:rsidR="00336625" w:rsidRPr="00336625">
        <w:rPr>
          <w:rFonts w:ascii="Verdana" w:hAnsi="Verdana"/>
          <w:sz w:val="20"/>
          <w:lang w:val="en-US" w:eastAsia="el-GR"/>
        </w:rPr>
        <w:t>Measurement</w:t>
      </w:r>
      <w:r w:rsidR="00336625" w:rsidRPr="00336625">
        <w:rPr>
          <w:rFonts w:ascii="Verdana" w:hAnsi="Verdana"/>
          <w:sz w:val="20"/>
          <w:lang w:val="el-GR" w:eastAsia="el-GR"/>
        </w:rPr>
        <w:t xml:space="preserve"> </w:t>
      </w:r>
      <w:r w:rsidR="00336625" w:rsidRPr="00336625">
        <w:rPr>
          <w:rFonts w:ascii="Verdana" w:hAnsi="Verdana"/>
          <w:sz w:val="20"/>
          <w:lang w:val="en-US" w:eastAsia="el-GR"/>
        </w:rPr>
        <w:t>of</w:t>
      </w:r>
      <w:r w:rsidR="00336625" w:rsidRPr="00336625">
        <w:rPr>
          <w:rFonts w:ascii="Verdana" w:hAnsi="Verdana"/>
          <w:sz w:val="20"/>
          <w:lang w:val="el-GR" w:eastAsia="el-GR"/>
        </w:rPr>
        <w:t xml:space="preserve"> </w:t>
      </w:r>
      <w:r w:rsidR="00336625" w:rsidRPr="00336625">
        <w:rPr>
          <w:rFonts w:ascii="Verdana" w:hAnsi="Verdana"/>
          <w:sz w:val="20"/>
          <w:lang w:val="en-US" w:eastAsia="el-GR"/>
        </w:rPr>
        <w:t>Scientific</w:t>
      </w:r>
      <w:r w:rsidR="00336625" w:rsidRPr="00336625">
        <w:rPr>
          <w:rFonts w:ascii="Verdana" w:hAnsi="Verdana"/>
          <w:sz w:val="20"/>
          <w:lang w:val="el-GR" w:eastAsia="el-GR"/>
        </w:rPr>
        <w:t xml:space="preserve">, </w:t>
      </w:r>
      <w:r w:rsidR="00336625" w:rsidRPr="00336625">
        <w:rPr>
          <w:rFonts w:ascii="Verdana" w:hAnsi="Verdana"/>
          <w:sz w:val="20"/>
          <w:lang w:val="en-US" w:eastAsia="el-GR"/>
        </w:rPr>
        <w:t>Technological</w:t>
      </w:r>
      <w:r w:rsidR="00336625" w:rsidRPr="00336625">
        <w:rPr>
          <w:rFonts w:ascii="Verdana" w:hAnsi="Verdana"/>
          <w:sz w:val="20"/>
          <w:lang w:val="el-GR" w:eastAsia="el-GR"/>
        </w:rPr>
        <w:t xml:space="preserve"> </w:t>
      </w:r>
      <w:r w:rsidR="00336625" w:rsidRPr="00336625">
        <w:rPr>
          <w:rFonts w:ascii="Verdana" w:hAnsi="Verdana"/>
          <w:sz w:val="20"/>
          <w:lang w:val="en-US" w:eastAsia="el-GR"/>
        </w:rPr>
        <w:t>and</w:t>
      </w:r>
      <w:r w:rsidR="00336625" w:rsidRPr="00336625">
        <w:rPr>
          <w:rFonts w:ascii="Verdana" w:hAnsi="Verdana"/>
          <w:sz w:val="20"/>
          <w:lang w:val="el-GR" w:eastAsia="el-GR"/>
        </w:rPr>
        <w:t xml:space="preserve"> </w:t>
      </w:r>
      <w:r w:rsidR="00336625" w:rsidRPr="00336625">
        <w:rPr>
          <w:rFonts w:ascii="Verdana" w:hAnsi="Verdana"/>
          <w:sz w:val="20"/>
          <w:lang w:val="en-US" w:eastAsia="el-GR"/>
        </w:rPr>
        <w:t>Innovation</w:t>
      </w:r>
      <w:r w:rsidR="00336625" w:rsidRPr="00336625">
        <w:rPr>
          <w:rFonts w:ascii="Verdana" w:hAnsi="Verdana"/>
          <w:sz w:val="20"/>
          <w:lang w:val="el-GR" w:eastAsia="el-GR"/>
        </w:rPr>
        <w:t xml:space="preserve"> </w:t>
      </w:r>
      <w:r w:rsidR="00336625" w:rsidRPr="00336625">
        <w:rPr>
          <w:rFonts w:ascii="Verdana" w:hAnsi="Verdana"/>
          <w:sz w:val="20"/>
          <w:lang w:val="en-US" w:eastAsia="el-GR"/>
        </w:rPr>
        <w:t>Activities</w:t>
      </w:r>
      <w:r w:rsidR="00336625" w:rsidRPr="00336625">
        <w:rPr>
          <w:rFonts w:ascii="Verdana" w:hAnsi="Verdana"/>
          <w:sz w:val="20"/>
          <w:lang w:val="el-GR" w:eastAsia="el-GR"/>
        </w:rPr>
        <w:t xml:space="preserve">, </w:t>
      </w:r>
      <w:r>
        <w:rPr>
          <w:rFonts w:ascii="Verdana" w:hAnsi="Verdana"/>
          <w:sz w:val="20"/>
          <w:lang w:val="el-GR" w:eastAsia="el-GR"/>
        </w:rPr>
        <w:t xml:space="preserve">σε 3.500 φορείς </w:t>
      </w:r>
      <w:r w:rsidR="00931F23">
        <w:rPr>
          <w:rFonts w:ascii="Verdana" w:hAnsi="Verdana"/>
          <w:sz w:val="20"/>
          <w:lang w:val="el-GR" w:eastAsia="el-GR"/>
        </w:rPr>
        <w:t xml:space="preserve">από τους </w:t>
      </w:r>
      <w:r w:rsidR="00504C7E">
        <w:rPr>
          <w:rFonts w:ascii="Verdana" w:hAnsi="Verdana"/>
          <w:sz w:val="20"/>
          <w:lang w:val="el-GR" w:eastAsia="el-GR"/>
        </w:rPr>
        <w:t xml:space="preserve">τέσσερις </w:t>
      </w:r>
      <w:r>
        <w:rPr>
          <w:rFonts w:ascii="Verdana" w:hAnsi="Verdana"/>
          <w:sz w:val="20"/>
          <w:lang w:val="el-GR" w:eastAsia="el-GR"/>
        </w:rPr>
        <w:t>τομείς: επιχειρήσεις</w:t>
      </w:r>
      <w:r w:rsidR="00BB28CB">
        <w:rPr>
          <w:rFonts w:ascii="Verdana" w:hAnsi="Verdana"/>
          <w:sz w:val="20"/>
          <w:lang w:val="el-GR" w:eastAsia="el-GR"/>
        </w:rPr>
        <w:t xml:space="preserve"> (BES)</w:t>
      </w:r>
      <w:r>
        <w:rPr>
          <w:rFonts w:ascii="Verdana" w:hAnsi="Verdana"/>
          <w:sz w:val="20"/>
          <w:lang w:val="el-GR" w:eastAsia="el-GR"/>
        </w:rPr>
        <w:t>, τριτοβάθμια εκπαίδευση</w:t>
      </w:r>
      <w:r w:rsidR="00BB28CB" w:rsidRPr="00BB28CB">
        <w:rPr>
          <w:rFonts w:ascii="Verdana" w:hAnsi="Verdana"/>
          <w:sz w:val="20"/>
          <w:lang w:val="el-GR" w:eastAsia="el-GR"/>
        </w:rPr>
        <w:t xml:space="preserve"> (</w:t>
      </w:r>
      <w:r w:rsidR="00BB28CB">
        <w:rPr>
          <w:rFonts w:ascii="Verdana" w:hAnsi="Verdana"/>
          <w:sz w:val="20"/>
          <w:lang w:val="en-US" w:eastAsia="el-GR"/>
        </w:rPr>
        <w:t>HES</w:t>
      </w:r>
      <w:r w:rsidR="00BB28CB" w:rsidRPr="00BB28CB">
        <w:rPr>
          <w:rFonts w:ascii="Verdana" w:hAnsi="Verdana"/>
          <w:sz w:val="20"/>
          <w:lang w:val="el-GR" w:eastAsia="el-GR"/>
        </w:rPr>
        <w:t>)</w:t>
      </w:r>
      <w:r>
        <w:rPr>
          <w:rFonts w:ascii="Verdana" w:hAnsi="Verdana"/>
          <w:sz w:val="20"/>
          <w:lang w:val="el-GR" w:eastAsia="el-GR"/>
        </w:rPr>
        <w:t>, κρατικ</w:t>
      </w:r>
      <w:r w:rsidR="00504C7E">
        <w:rPr>
          <w:rFonts w:ascii="Verdana" w:hAnsi="Verdana"/>
          <w:sz w:val="20"/>
          <w:lang w:val="el-GR" w:eastAsia="el-GR"/>
        </w:rPr>
        <w:t>ό τομέα</w:t>
      </w:r>
      <w:r w:rsidR="00BB28CB" w:rsidRPr="00BB28CB">
        <w:rPr>
          <w:rFonts w:ascii="Verdana" w:hAnsi="Verdana"/>
          <w:sz w:val="20"/>
          <w:lang w:val="el-GR" w:eastAsia="el-GR"/>
        </w:rPr>
        <w:t xml:space="preserve"> (</w:t>
      </w:r>
      <w:r w:rsidR="00BB28CB">
        <w:rPr>
          <w:rFonts w:ascii="Verdana" w:hAnsi="Verdana"/>
          <w:sz w:val="20"/>
          <w:lang w:val="en-US" w:eastAsia="el-GR"/>
        </w:rPr>
        <w:t>GOV</w:t>
      </w:r>
      <w:r w:rsidR="00BB28CB" w:rsidRPr="00BB28CB">
        <w:rPr>
          <w:rFonts w:ascii="Verdana" w:hAnsi="Verdana"/>
          <w:sz w:val="20"/>
          <w:lang w:val="el-GR" w:eastAsia="el-GR"/>
        </w:rPr>
        <w:t>)</w:t>
      </w:r>
      <w:r w:rsidR="00504C7E">
        <w:rPr>
          <w:rFonts w:ascii="Verdana" w:hAnsi="Verdana"/>
          <w:sz w:val="20"/>
          <w:lang w:val="el-GR" w:eastAsia="el-GR"/>
        </w:rPr>
        <w:t xml:space="preserve"> </w:t>
      </w:r>
      <w:r>
        <w:rPr>
          <w:rFonts w:ascii="Verdana" w:hAnsi="Verdana"/>
          <w:sz w:val="20"/>
          <w:lang w:val="el-GR" w:eastAsia="el-GR"/>
        </w:rPr>
        <w:t>και ιδιωτικά μη κερδοσκοπικά ιδρύματα</w:t>
      </w:r>
      <w:r w:rsidR="00BB28CB" w:rsidRPr="00BB28CB">
        <w:rPr>
          <w:rFonts w:ascii="Verdana" w:hAnsi="Verdana"/>
          <w:sz w:val="20"/>
          <w:lang w:val="el-GR" w:eastAsia="el-GR"/>
        </w:rPr>
        <w:t xml:space="preserve"> (</w:t>
      </w:r>
      <w:r w:rsidR="00BB28CB">
        <w:rPr>
          <w:rFonts w:ascii="Verdana" w:hAnsi="Verdana"/>
          <w:sz w:val="20"/>
          <w:lang w:val="en-US" w:eastAsia="el-GR"/>
        </w:rPr>
        <w:t>PNP</w:t>
      </w:r>
      <w:r w:rsidR="00BB28CB" w:rsidRPr="00BB28CB">
        <w:rPr>
          <w:rFonts w:ascii="Verdana" w:hAnsi="Verdana"/>
          <w:sz w:val="20"/>
          <w:lang w:val="el-GR" w:eastAsia="el-GR"/>
        </w:rPr>
        <w:t>)</w:t>
      </w:r>
      <w:r>
        <w:rPr>
          <w:rFonts w:ascii="Verdana" w:hAnsi="Verdana"/>
          <w:sz w:val="20"/>
          <w:lang w:val="el-GR" w:eastAsia="el-GR"/>
        </w:rPr>
        <w:t xml:space="preserve">. </w:t>
      </w:r>
    </w:p>
    <w:p w:rsidR="007D3C8D" w:rsidRDefault="007D3C8D" w:rsidP="009F616C">
      <w:pPr>
        <w:jc w:val="both"/>
        <w:rPr>
          <w:rFonts w:ascii="Verdana" w:hAnsi="Verdana"/>
          <w:sz w:val="20"/>
          <w:lang w:val="el-GR" w:eastAsia="el-GR"/>
        </w:rPr>
      </w:pPr>
    </w:p>
    <w:p w:rsidR="00FD54AA" w:rsidRDefault="00EC31DF" w:rsidP="009F616C">
      <w:pPr>
        <w:jc w:val="both"/>
        <w:rPr>
          <w:rFonts w:ascii="Verdana" w:hAnsi="Verdana"/>
          <w:sz w:val="20"/>
          <w:lang w:val="el-GR" w:eastAsia="el-GR"/>
        </w:rPr>
      </w:pPr>
      <w:r>
        <w:rPr>
          <w:rFonts w:ascii="Verdana" w:hAnsi="Verdana"/>
          <w:sz w:val="20"/>
          <w:lang w:val="el-GR" w:eastAsia="el-GR"/>
        </w:rPr>
        <w:t xml:space="preserve">Ο τομέας των επιχειρήσεων έχει για δεύτερη συνεχή </w:t>
      </w:r>
      <w:r w:rsidR="001D75D0">
        <w:rPr>
          <w:rFonts w:ascii="Verdana" w:hAnsi="Verdana"/>
          <w:sz w:val="20"/>
          <w:lang w:val="el-GR" w:eastAsia="el-GR"/>
        </w:rPr>
        <w:t>χρονιά</w:t>
      </w:r>
      <w:r>
        <w:rPr>
          <w:rFonts w:ascii="Verdana" w:hAnsi="Verdana"/>
          <w:sz w:val="20"/>
          <w:lang w:val="el-GR" w:eastAsia="el-GR"/>
        </w:rPr>
        <w:t xml:space="preserve"> τη μεγαλύτερη συνεισφορά </w:t>
      </w:r>
      <w:r w:rsidR="001D75D0">
        <w:rPr>
          <w:rFonts w:ascii="Verdana" w:hAnsi="Verdana"/>
          <w:sz w:val="20"/>
          <w:lang w:val="el-GR" w:eastAsia="el-GR"/>
        </w:rPr>
        <w:t>στις εθνικές δαπάνες Ε&amp;Α, ακολουθώντας τους ίδιους ρυθμούς αύξησης</w:t>
      </w:r>
      <w:r w:rsidR="00931F23">
        <w:rPr>
          <w:rFonts w:ascii="Verdana" w:hAnsi="Verdana"/>
          <w:sz w:val="20"/>
          <w:lang w:val="el-GR" w:eastAsia="el-GR"/>
        </w:rPr>
        <w:t xml:space="preserve">, </w:t>
      </w:r>
      <w:r w:rsidR="001D75D0">
        <w:rPr>
          <w:rFonts w:ascii="Verdana" w:hAnsi="Verdana"/>
          <w:sz w:val="20"/>
          <w:lang w:val="el-GR" w:eastAsia="el-GR"/>
        </w:rPr>
        <w:t>33,8% μεταξύ των ετών 2017 και 2016 και 3</w:t>
      </w:r>
      <w:r w:rsidR="00FD54AA">
        <w:rPr>
          <w:rFonts w:ascii="Verdana" w:hAnsi="Verdana"/>
          <w:sz w:val="20"/>
          <w:lang w:val="el-GR" w:eastAsia="el-GR"/>
        </w:rPr>
        <w:t>1</w:t>
      </w:r>
      <w:r w:rsidR="001D75D0">
        <w:rPr>
          <w:rFonts w:ascii="Verdana" w:hAnsi="Verdana"/>
          <w:sz w:val="20"/>
          <w:lang w:val="el-GR" w:eastAsia="el-GR"/>
        </w:rPr>
        <w:t xml:space="preserve">,8% μεταξύ των ετών 2016 και 2015. </w:t>
      </w:r>
      <w:r w:rsidR="00C8473A">
        <w:rPr>
          <w:rFonts w:ascii="Verdana" w:hAnsi="Verdana"/>
          <w:sz w:val="20"/>
          <w:lang w:val="el-GR" w:eastAsia="el-GR"/>
        </w:rPr>
        <w:t>Το 2017 σ</w:t>
      </w:r>
      <w:r w:rsidR="00931F23">
        <w:rPr>
          <w:rFonts w:ascii="Verdana" w:hAnsi="Verdana"/>
          <w:sz w:val="20"/>
          <w:lang w:val="el-GR" w:eastAsia="el-GR"/>
        </w:rPr>
        <w:t xml:space="preserve">τον τομέα </w:t>
      </w:r>
      <w:r w:rsidR="00931F23" w:rsidRPr="00A35E84">
        <w:rPr>
          <w:rFonts w:ascii="Verdana" w:hAnsi="Verdana"/>
          <w:sz w:val="20"/>
          <w:lang w:val="el-GR" w:eastAsia="el-GR"/>
        </w:rPr>
        <w:t xml:space="preserve">πραγματοποιήθηκαν δαπάνες Ε&amp;Α ύψους </w:t>
      </w:r>
      <w:r w:rsidR="00931F23">
        <w:rPr>
          <w:rFonts w:ascii="Verdana" w:eastAsia="Calibri" w:hAnsi="Verdana"/>
          <w:sz w:val="20"/>
          <w:lang w:val="el-GR"/>
        </w:rPr>
        <w:t>990,8</w:t>
      </w:r>
      <w:r w:rsidR="00931F23" w:rsidRPr="00A35E84">
        <w:rPr>
          <w:rFonts w:ascii="Verdana" w:eastAsia="Calibri" w:hAnsi="Verdana"/>
          <w:sz w:val="20"/>
          <w:lang w:val="el-GR"/>
        </w:rPr>
        <w:t xml:space="preserve"> εκατ. ευρώ</w:t>
      </w:r>
      <w:r w:rsidR="00931F23">
        <w:rPr>
          <w:rFonts w:ascii="Verdana" w:eastAsia="Calibri" w:hAnsi="Verdana"/>
          <w:sz w:val="20"/>
          <w:lang w:val="el-GR"/>
        </w:rPr>
        <w:t xml:space="preserve"> (0,56% του ΑΕΠ). </w:t>
      </w:r>
      <w:r w:rsidR="001D75D0">
        <w:rPr>
          <w:rFonts w:ascii="Verdana" w:hAnsi="Verdana"/>
          <w:sz w:val="20"/>
          <w:lang w:val="el-GR" w:eastAsia="el-GR"/>
        </w:rPr>
        <w:t>Στο αποτέλεσμα αυτό συνεισέφεραν</w:t>
      </w:r>
      <w:r w:rsidR="00DA3AAA">
        <w:rPr>
          <w:rFonts w:ascii="Verdana" w:hAnsi="Verdana"/>
          <w:sz w:val="20"/>
          <w:lang w:val="el-GR" w:eastAsia="el-GR"/>
        </w:rPr>
        <w:t xml:space="preserve"> μικρές, μεσαίες και μεγάλες</w:t>
      </w:r>
      <w:r w:rsidR="001D75D0">
        <w:rPr>
          <w:rFonts w:ascii="Verdana" w:hAnsi="Verdana"/>
          <w:sz w:val="20"/>
          <w:lang w:val="el-GR" w:eastAsia="el-GR"/>
        </w:rPr>
        <w:t xml:space="preserve"> </w:t>
      </w:r>
      <w:r w:rsidR="00DA3AAA">
        <w:rPr>
          <w:rFonts w:ascii="Verdana" w:hAnsi="Verdana"/>
          <w:sz w:val="20"/>
          <w:lang w:val="el-GR" w:eastAsia="el-GR"/>
        </w:rPr>
        <w:t>επιχειρήσεις</w:t>
      </w:r>
      <w:r w:rsidR="009932DF">
        <w:rPr>
          <w:rFonts w:ascii="Verdana" w:hAnsi="Verdana"/>
          <w:sz w:val="20"/>
          <w:lang w:val="el-GR" w:eastAsia="el-GR"/>
        </w:rPr>
        <w:t xml:space="preserve"> </w:t>
      </w:r>
      <w:r w:rsidR="00DA3AAA">
        <w:rPr>
          <w:rFonts w:ascii="Verdana" w:hAnsi="Verdana"/>
          <w:sz w:val="20"/>
          <w:lang w:val="el-GR" w:eastAsia="el-GR"/>
        </w:rPr>
        <w:t xml:space="preserve">από </w:t>
      </w:r>
      <w:r w:rsidR="001D75D0">
        <w:rPr>
          <w:rFonts w:ascii="Verdana" w:hAnsi="Verdana"/>
          <w:sz w:val="20"/>
          <w:lang w:val="el-GR" w:eastAsia="el-GR"/>
        </w:rPr>
        <w:t>«παραδοσιακο</w:t>
      </w:r>
      <w:r w:rsidR="00DA3AAA">
        <w:rPr>
          <w:rFonts w:ascii="Verdana" w:hAnsi="Verdana"/>
          <w:sz w:val="20"/>
          <w:lang w:val="el-GR" w:eastAsia="el-GR"/>
        </w:rPr>
        <w:t>ύς</w:t>
      </w:r>
      <w:r w:rsidR="001D75D0">
        <w:rPr>
          <w:rFonts w:ascii="Verdana" w:hAnsi="Verdana"/>
          <w:sz w:val="20"/>
          <w:lang w:val="el-GR" w:eastAsia="el-GR"/>
        </w:rPr>
        <w:t>» κλάδο</w:t>
      </w:r>
      <w:r w:rsidR="00DA3AAA">
        <w:rPr>
          <w:rFonts w:ascii="Verdana" w:hAnsi="Verdana"/>
          <w:sz w:val="20"/>
          <w:lang w:val="el-GR" w:eastAsia="el-GR"/>
        </w:rPr>
        <w:t>υς</w:t>
      </w:r>
      <w:r w:rsidR="001D75D0">
        <w:rPr>
          <w:rFonts w:ascii="Verdana" w:hAnsi="Verdana"/>
          <w:sz w:val="20"/>
          <w:lang w:val="el-GR" w:eastAsia="el-GR"/>
        </w:rPr>
        <w:t xml:space="preserve"> της μεταποίησης (φάρμακα, τρόφιμα/ποτά, χημικά, προϊόντα διύλισης, </w:t>
      </w:r>
      <w:r w:rsidR="00FD54AA">
        <w:rPr>
          <w:rFonts w:ascii="Verdana" w:hAnsi="Verdana"/>
          <w:sz w:val="20"/>
          <w:lang w:val="el-GR" w:eastAsia="el-GR"/>
        </w:rPr>
        <w:t xml:space="preserve">μεταλλικά προϊόντα, </w:t>
      </w:r>
      <w:r w:rsidR="001D75D0">
        <w:rPr>
          <w:rFonts w:ascii="Verdana" w:hAnsi="Verdana"/>
          <w:sz w:val="20"/>
          <w:lang w:val="el-GR" w:eastAsia="el-GR"/>
        </w:rPr>
        <w:t>κ.</w:t>
      </w:r>
      <w:r w:rsidR="0034630C">
        <w:rPr>
          <w:rFonts w:ascii="Verdana" w:hAnsi="Verdana"/>
          <w:sz w:val="20"/>
          <w:lang w:val="el-GR" w:eastAsia="el-GR"/>
        </w:rPr>
        <w:t>ά</w:t>
      </w:r>
      <w:r w:rsidR="001D75D0">
        <w:rPr>
          <w:rFonts w:ascii="Verdana" w:hAnsi="Verdana"/>
          <w:sz w:val="20"/>
          <w:lang w:val="el-GR" w:eastAsia="el-GR"/>
        </w:rPr>
        <w:t xml:space="preserve">.), </w:t>
      </w:r>
      <w:r w:rsidR="00DA3AAA">
        <w:rPr>
          <w:rFonts w:ascii="Verdana" w:hAnsi="Verdana"/>
          <w:sz w:val="20"/>
          <w:lang w:val="el-GR" w:eastAsia="el-GR"/>
        </w:rPr>
        <w:t xml:space="preserve">τον </w:t>
      </w:r>
      <w:r w:rsidR="001D75D0">
        <w:rPr>
          <w:rFonts w:ascii="Verdana" w:hAnsi="Verdana"/>
          <w:sz w:val="20"/>
          <w:lang w:val="el-GR" w:eastAsia="el-GR"/>
        </w:rPr>
        <w:t xml:space="preserve">κλάδο των ΤΠΕ (τηλεπικοινωνίες, </w:t>
      </w:r>
      <w:r w:rsidR="00FD54AA">
        <w:rPr>
          <w:rFonts w:ascii="Verdana" w:hAnsi="Verdana"/>
          <w:sz w:val="20"/>
          <w:lang w:val="el-GR" w:eastAsia="el-GR"/>
        </w:rPr>
        <w:t>προγραμματισμός Η/Υ)</w:t>
      </w:r>
      <w:r w:rsidR="00EF3697">
        <w:rPr>
          <w:rFonts w:ascii="Verdana" w:hAnsi="Verdana"/>
          <w:sz w:val="20"/>
          <w:lang w:val="el-GR" w:eastAsia="el-GR"/>
        </w:rPr>
        <w:t>, τον χρηματοπιστωτικό τομέα, καθώς κ</w:t>
      </w:r>
      <w:r w:rsidR="00FD54AA">
        <w:rPr>
          <w:rFonts w:ascii="Verdana" w:hAnsi="Verdana"/>
          <w:sz w:val="20"/>
          <w:lang w:val="el-GR" w:eastAsia="el-GR"/>
        </w:rPr>
        <w:t>αι επιχειρήσεις με σημαντικά επενδυτικά έργα</w:t>
      </w:r>
      <w:r w:rsidR="00931F23">
        <w:rPr>
          <w:rFonts w:ascii="Verdana" w:hAnsi="Verdana"/>
          <w:sz w:val="20"/>
          <w:lang w:val="el-GR" w:eastAsia="el-GR"/>
        </w:rPr>
        <w:t xml:space="preserve">, μεταξύ των οποίων και </w:t>
      </w:r>
      <w:r w:rsidR="009932DF">
        <w:rPr>
          <w:rFonts w:ascii="Verdana" w:hAnsi="Verdana"/>
          <w:sz w:val="20"/>
          <w:lang w:val="el-GR" w:eastAsia="el-GR"/>
        </w:rPr>
        <w:t xml:space="preserve">έργα </w:t>
      </w:r>
      <w:r w:rsidR="00931F23">
        <w:rPr>
          <w:rFonts w:ascii="Verdana" w:hAnsi="Verdana"/>
          <w:sz w:val="20"/>
          <w:lang w:val="el-GR" w:eastAsia="el-GR"/>
        </w:rPr>
        <w:t>εθνικ</w:t>
      </w:r>
      <w:r w:rsidR="009932DF">
        <w:rPr>
          <w:rFonts w:ascii="Verdana" w:hAnsi="Verdana"/>
          <w:sz w:val="20"/>
          <w:lang w:val="el-GR" w:eastAsia="el-GR"/>
        </w:rPr>
        <w:t xml:space="preserve">ών </w:t>
      </w:r>
      <w:r w:rsidR="00931F23">
        <w:rPr>
          <w:rFonts w:ascii="Verdana" w:hAnsi="Verdana"/>
          <w:sz w:val="20"/>
          <w:lang w:val="el-GR" w:eastAsia="el-GR"/>
        </w:rPr>
        <w:t>υποδομ</w:t>
      </w:r>
      <w:r w:rsidR="009932DF">
        <w:rPr>
          <w:rFonts w:ascii="Verdana" w:hAnsi="Verdana"/>
          <w:sz w:val="20"/>
          <w:lang w:val="el-GR" w:eastAsia="el-GR"/>
        </w:rPr>
        <w:t>ών</w:t>
      </w:r>
      <w:r w:rsidR="00931F23">
        <w:rPr>
          <w:rFonts w:ascii="Verdana" w:hAnsi="Verdana"/>
          <w:sz w:val="20"/>
          <w:lang w:val="el-GR" w:eastAsia="el-GR"/>
        </w:rPr>
        <w:t xml:space="preserve">.  </w:t>
      </w:r>
    </w:p>
    <w:p w:rsidR="00FD54AA" w:rsidRDefault="00FD54AA" w:rsidP="009F616C">
      <w:pPr>
        <w:jc w:val="both"/>
        <w:rPr>
          <w:rFonts w:ascii="Verdana" w:hAnsi="Verdana"/>
          <w:sz w:val="20"/>
          <w:lang w:val="el-GR" w:eastAsia="el-GR"/>
        </w:rPr>
      </w:pPr>
    </w:p>
    <w:p w:rsidR="009F616C" w:rsidRPr="001C083B" w:rsidRDefault="00C8473A" w:rsidP="009F616C">
      <w:pPr>
        <w:jc w:val="both"/>
        <w:rPr>
          <w:rFonts w:ascii="Verdana" w:hAnsi="Verdana"/>
          <w:sz w:val="20"/>
          <w:lang w:val="el-GR" w:eastAsia="el-GR"/>
        </w:rPr>
      </w:pPr>
      <w:r>
        <w:rPr>
          <w:rFonts w:ascii="Verdana" w:hAnsi="Verdana"/>
          <w:sz w:val="20"/>
          <w:lang w:val="el-GR" w:eastAsia="el-GR"/>
        </w:rPr>
        <w:t xml:space="preserve">Αύξηση των δαπανών Ε&amp;Α καταγράφεται και στους </w:t>
      </w:r>
      <w:r w:rsidR="00820758">
        <w:rPr>
          <w:rFonts w:ascii="Verdana" w:hAnsi="Verdana"/>
          <w:sz w:val="20"/>
          <w:lang w:val="el-GR" w:eastAsia="el-GR"/>
        </w:rPr>
        <w:t xml:space="preserve">υπόλοιπους </w:t>
      </w:r>
      <w:r>
        <w:rPr>
          <w:rFonts w:ascii="Verdana" w:hAnsi="Verdana"/>
          <w:sz w:val="20"/>
          <w:lang w:val="el-GR" w:eastAsia="el-GR"/>
        </w:rPr>
        <w:t>τρείς</w:t>
      </w:r>
      <w:r w:rsidR="00820758">
        <w:rPr>
          <w:rFonts w:ascii="Verdana" w:hAnsi="Verdana"/>
          <w:sz w:val="20"/>
          <w:lang w:val="el-GR" w:eastAsia="el-GR"/>
        </w:rPr>
        <w:t xml:space="preserve"> </w:t>
      </w:r>
      <w:r>
        <w:rPr>
          <w:rFonts w:ascii="Verdana" w:hAnsi="Verdana"/>
          <w:sz w:val="20"/>
          <w:lang w:val="el-GR" w:eastAsia="el-GR"/>
        </w:rPr>
        <w:t xml:space="preserve">τομείς.  </w:t>
      </w:r>
      <w:r w:rsidR="00504C7E">
        <w:rPr>
          <w:rFonts w:ascii="Verdana" w:hAnsi="Verdana"/>
          <w:sz w:val="20"/>
          <w:lang w:val="el-GR" w:eastAsia="el-GR"/>
        </w:rPr>
        <w:t xml:space="preserve">Στον τομέα </w:t>
      </w:r>
      <w:r w:rsidR="00687A3F" w:rsidRPr="00687A3F">
        <w:rPr>
          <w:rFonts w:ascii="Verdana" w:hAnsi="Verdana"/>
          <w:sz w:val="20"/>
          <w:lang w:val="el-GR" w:eastAsia="el-GR"/>
        </w:rPr>
        <w:t>της τριτοβάθμιας εκπαίδευσης</w:t>
      </w:r>
      <w:r w:rsidR="009F616C">
        <w:rPr>
          <w:rFonts w:ascii="Verdana" w:hAnsi="Verdana"/>
          <w:sz w:val="20"/>
          <w:lang w:val="el-GR" w:eastAsia="el-GR"/>
        </w:rPr>
        <w:t xml:space="preserve">, </w:t>
      </w:r>
      <w:r w:rsidR="005F6BC3" w:rsidRPr="00A35E84">
        <w:rPr>
          <w:rFonts w:ascii="Verdana" w:hAnsi="Verdana"/>
          <w:sz w:val="20"/>
          <w:lang w:val="el-GR" w:eastAsia="el-GR"/>
        </w:rPr>
        <w:t xml:space="preserve">πραγματοποιήθηκαν δαπάνες </w:t>
      </w:r>
      <w:r w:rsidR="007D3C8D">
        <w:rPr>
          <w:rFonts w:ascii="Verdana" w:eastAsia="Calibri" w:hAnsi="Verdana"/>
          <w:sz w:val="20"/>
          <w:lang w:val="el-GR"/>
        </w:rPr>
        <w:t>577,7</w:t>
      </w:r>
      <w:r w:rsidR="005F6BC3" w:rsidRPr="00A35E84">
        <w:rPr>
          <w:rFonts w:ascii="Verdana" w:eastAsia="Calibri" w:hAnsi="Verdana"/>
          <w:sz w:val="20"/>
          <w:lang w:val="el-GR"/>
        </w:rPr>
        <w:t xml:space="preserve"> εκατ. </w:t>
      </w:r>
      <w:r w:rsidR="004065CE" w:rsidRPr="00A35E84">
        <w:rPr>
          <w:rFonts w:ascii="Verdana" w:eastAsia="Calibri" w:hAnsi="Verdana"/>
          <w:sz w:val="20"/>
          <w:lang w:val="el-GR"/>
        </w:rPr>
        <w:t>ε</w:t>
      </w:r>
      <w:r w:rsidR="005F6BC3" w:rsidRPr="00A35E84">
        <w:rPr>
          <w:rFonts w:ascii="Verdana" w:eastAsia="Calibri" w:hAnsi="Verdana"/>
          <w:sz w:val="20"/>
          <w:lang w:val="el-GR"/>
        </w:rPr>
        <w:t xml:space="preserve">υρώ </w:t>
      </w:r>
      <w:r w:rsidR="004065CE" w:rsidRPr="00A35E84">
        <w:rPr>
          <w:rFonts w:ascii="Verdana" w:eastAsia="Calibri" w:hAnsi="Verdana"/>
          <w:sz w:val="20"/>
          <w:lang w:val="el-GR"/>
        </w:rPr>
        <w:t>(</w:t>
      </w:r>
      <w:r w:rsidR="005F6BC3" w:rsidRPr="00A35E84">
        <w:rPr>
          <w:rFonts w:ascii="Verdana" w:eastAsia="Calibri" w:hAnsi="Verdana"/>
          <w:sz w:val="20"/>
          <w:lang w:val="el-GR"/>
        </w:rPr>
        <w:t>0,32% του ΑΕΠ</w:t>
      </w:r>
      <w:r w:rsidR="004065CE" w:rsidRPr="00A35E84">
        <w:rPr>
          <w:rFonts w:ascii="Verdana" w:eastAsia="Calibri" w:hAnsi="Verdana"/>
          <w:sz w:val="20"/>
          <w:lang w:val="el-GR"/>
        </w:rPr>
        <w:t>)</w:t>
      </w:r>
      <w:r w:rsidR="00504C7E">
        <w:rPr>
          <w:rFonts w:ascii="Verdana" w:eastAsia="Calibri" w:hAnsi="Verdana"/>
          <w:sz w:val="20"/>
          <w:lang w:val="el-GR"/>
        </w:rPr>
        <w:t xml:space="preserve">, </w:t>
      </w:r>
      <w:r w:rsidR="00FE46CB">
        <w:rPr>
          <w:rFonts w:ascii="Verdana" w:eastAsia="Calibri" w:hAnsi="Verdana"/>
          <w:sz w:val="20"/>
          <w:lang w:val="el-GR"/>
        </w:rPr>
        <w:t>αυξημένες</w:t>
      </w:r>
      <w:r w:rsidR="00504C7E">
        <w:rPr>
          <w:rFonts w:ascii="Verdana" w:eastAsia="Calibri" w:hAnsi="Verdana"/>
          <w:sz w:val="20"/>
          <w:lang w:val="el-GR"/>
        </w:rPr>
        <w:t xml:space="preserve"> κατά 3,3% σε σχέση με το 2016. </w:t>
      </w:r>
      <w:r w:rsidR="0069570A">
        <w:rPr>
          <w:rFonts w:ascii="Verdana" w:eastAsia="Calibri" w:hAnsi="Verdana"/>
          <w:sz w:val="20"/>
          <w:lang w:val="el-GR"/>
        </w:rPr>
        <w:t xml:space="preserve">Στον κρατικό τομέα </w:t>
      </w:r>
      <w:r w:rsidR="009F616C" w:rsidRPr="001C083B">
        <w:rPr>
          <w:rFonts w:ascii="Verdana" w:hAnsi="Verdana"/>
          <w:sz w:val="20"/>
          <w:lang w:val="el-GR" w:eastAsia="el-GR"/>
        </w:rPr>
        <w:t xml:space="preserve">πραγματοποιήθηκαν δαπάνες </w:t>
      </w:r>
      <w:r w:rsidR="001C4AE8">
        <w:rPr>
          <w:rFonts w:ascii="Verdana" w:hAnsi="Verdana"/>
          <w:sz w:val="20"/>
          <w:lang w:val="el-GR" w:eastAsia="el-GR"/>
        </w:rPr>
        <w:t>4</w:t>
      </w:r>
      <w:r w:rsidR="00FE46CB">
        <w:rPr>
          <w:rFonts w:ascii="Verdana" w:hAnsi="Verdana"/>
          <w:sz w:val="20"/>
          <w:lang w:val="el-GR" w:eastAsia="el-GR"/>
        </w:rPr>
        <w:t>4</w:t>
      </w:r>
      <w:r w:rsidR="00876189" w:rsidRPr="00876189">
        <w:rPr>
          <w:rFonts w:ascii="Verdana" w:hAnsi="Verdana"/>
          <w:sz w:val="20"/>
          <w:lang w:val="el-GR" w:eastAsia="el-GR"/>
        </w:rPr>
        <w:t>8</w:t>
      </w:r>
      <w:r w:rsidR="001C4AE8">
        <w:rPr>
          <w:rFonts w:ascii="Verdana" w:hAnsi="Verdana"/>
          <w:sz w:val="20"/>
          <w:lang w:val="el-GR" w:eastAsia="el-GR"/>
        </w:rPr>
        <w:t>,</w:t>
      </w:r>
      <w:r w:rsidR="00FE46CB">
        <w:rPr>
          <w:rFonts w:ascii="Verdana" w:hAnsi="Verdana"/>
          <w:sz w:val="20"/>
          <w:lang w:val="el-GR" w:eastAsia="el-GR"/>
        </w:rPr>
        <w:t>1</w:t>
      </w:r>
      <w:r w:rsidR="009F616C" w:rsidRPr="001C083B">
        <w:rPr>
          <w:rFonts w:ascii="Verdana" w:hAnsi="Verdana"/>
          <w:sz w:val="20"/>
          <w:lang w:val="el-GR" w:eastAsia="el-GR"/>
        </w:rPr>
        <w:t xml:space="preserve"> εκατ. ευρώ (0,25% του ΑΕΠ)</w:t>
      </w:r>
      <w:r w:rsidR="00FE46CB">
        <w:rPr>
          <w:rFonts w:ascii="Verdana" w:hAnsi="Verdana"/>
          <w:sz w:val="20"/>
          <w:lang w:val="el-GR" w:eastAsia="el-GR"/>
        </w:rPr>
        <w:t xml:space="preserve">, </w:t>
      </w:r>
      <w:r w:rsidR="009932DF">
        <w:rPr>
          <w:rFonts w:ascii="Verdana" w:hAnsi="Verdana"/>
          <w:sz w:val="20"/>
          <w:lang w:val="el-GR" w:eastAsia="el-GR"/>
        </w:rPr>
        <w:t xml:space="preserve">αυξημένες </w:t>
      </w:r>
      <w:r w:rsidR="00FE46CB">
        <w:rPr>
          <w:rFonts w:ascii="Verdana" w:hAnsi="Verdana"/>
          <w:sz w:val="20"/>
          <w:lang w:val="el-GR" w:eastAsia="el-GR"/>
        </w:rPr>
        <w:t>κατά 2,1% σε σχέση με το 2016</w:t>
      </w:r>
      <w:r w:rsidR="004353C1">
        <w:rPr>
          <w:rFonts w:ascii="Verdana" w:hAnsi="Verdana"/>
          <w:sz w:val="20"/>
          <w:lang w:val="el-GR" w:eastAsia="el-GR"/>
        </w:rPr>
        <w:t>.</w:t>
      </w:r>
      <w:r w:rsidR="00B0320A">
        <w:rPr>
          <w:rFonts w:ascii="Verdana" w:hAnsi="Verdana"/>
          <w:sz w:val="20"/>
          <w:lang w:val="el-GR" w:eastAsia="el-GR"/>
        </w:rPr>
        <w:t xml:space="preserve"> </w:t>
      </w:r>
      <w:r w:rsidR="004353C1">
        <w:rPr>
          <w:rFonts w:ascii="Verdana" w:hAnsi="Verdana"/>
          <w:sz w:val="20"/>
          <w:lang w:val="el-GR" w:eastAsia="el-GR"/>
        </w:rPr>
        <w:t xml:space="preserve">Ο τομέας </w:t>
      </w:r>
      <w:r w:rsidR="009F616C" w:rsidRPr="001C083B">
        <w:rPr>
          <w:rFonts w:ascii="Verdana" w:hAnsi="Verdana"/>
          <w:sz w:val="20"/>
          <w:lang w:val="el-GR" w:eastAsia="el-GR"/>
        </w:rPr>
        <w:t>των ιδιωτικών μη κερδοσκοπικών ιδρυμάτων έχει μικρότερη συνεισφορά (</w:t>
      </w:r>
      <w:r w:rsidR="00FE46CB">
        <w:rPr>
          <w:rFonts w:ascii="Verdana" w:hAnsi="Verdana"/>
          <w:sz w:val="20"/>
          <w:lang w:val="el-GR" w:eastAsia="el-GR"/>
        </w:rPr>
        <w:t xml:space="preserve">16,4 </w:t>
      </w:r>
      <w:r w:rsidR="009F616C" w:rsidRPr="001C083B">
        <w:rPr>
          <w:rFonts w:ascii="Verdana" w:hAnsi="Verdana"/>
          <w:sz w:val="20"/>
          <w:lang w:val="el-GR" w:eastAsia="el-GR"/>
        </w:rPr>
        <w:t xml:space="preserve"> εκατ. ευρώ, 0,01% του ΑΕΠ</w:t>
      </w:r>
      <w:r w:rsidR="00FE46CB">
        <w:rPr>
          <w:rFonts w:ascii="Verdana" w:hAnsi="Verdana"/>
          <w:sz w:val="20"/>
          <w:lang w:val="el-GR" w:eastAsia="el-GR"/>
        </w:rPr>
        <w:t>, αύξηση κατά 5,1% σε σχέση με το 2016</w:t>
      </w:r>
      <w:r w:rsidR="009F616C" w:rsidRPr="001C083B">
        <w:rPr>
          <w:rFonts w:ascii="Verdana" w:hAnsi="Verdana"/>
          <w:sz w:val="20"/>
          <w:lang w:val="el-GR" w:eastAsia="el-GR"/>
        </w:rPr>
        <w:t xml:space="preserve">). </w:t>
      </w:r>
    </w:p>
    <w:p w:rsidR="009F616C" w:rsidRDefault="009F616C" w:rsidP="0077580B">
      <w:pPr>
        <w:jc w:val="both"/>
        <w:rPr>
          <w:rFonts w:ascii="Verdana" w:eastAsia="Calibri" w:hAnsi="Verdana"/>
          <w:sz w:val="20"/>
          <w:lang w:val="el-GR"/>
        </w:rPr>
      </w:pPr>
    </w:p>
    <w:p w:rsidR="00FE46CB" w:rsidRDefault="00931F23" w:rsidP="00665EF1">
      <w:pPr>
        <w:jc w:val="both"/>
        <w:rPr>
          <w:rFonts w:ascii="Verdana" w:hAnsi="Verdana"/>
          <w:sz w:val="20"/>
          <w:lang w:val="el-GR" w:eastAsia="el-GR"/>
        </w:rPr>
      </w:pPr>
      <w:r>
        <w:rPr>
          <w:rFonts w:ascii="Verdana" w:hAnsi="Verdana"/>
          <w:sz w:val="20"/>
          <w:lang w:val="el-GR" w:eastAsia="el-GR"/>
        </w:rPr>
        <w:t>Όσον αφορά τις πηγές από τις οποίες χρηματοδοτήθηκαν οι δαπάνες Ε&amp;Α</w:t>
      </w:r>
      <w:r w:rsidR="00565CFF">
        <w:rPr>
          <w:rFonts w:ascii="Verdana" w:hAnsi="Verdana"/>
          <w:sz w:val="20"/>
          <w:lang w:val="el-GR" w:eastAsia="el-GR"/>
        </w:rPr>
        <w:t xml:space="preserve"> του 2017</w:t>
      </w:r>
      <w:r>
        <w:rPr>
          <w:rFonts w:ascii="Verdana" w:hAnsi="Verdana"/>
          <w:sz w:val="20"/>
          <w:lang w:val="el-GR" w:eastAsia="el-GR"/>
        </w:rPr>
        <w:t xml:space="preserve">, </w:t>
      </w:r>
      <w:r w:rsidR="005015DE">
        <w:rPr>
          <w:rFonts w:ascii="Verdana" w:hAnsi="Verdana"/>
          <w:sz w:val="20"/>
          <w:lang w:val="el-GR" w:eastAsia="el-GR"/>
        </w:rPr>
        <w:t>το μεγαλύτερο ποσό</w:t>
      </w:r>
      <w:r w:rsidR="00642DB6">
        <w:rPr>
          <w:rFonts w:ascii="Verdana" w:hAnsi="Verdana"/>
          <w:sz w:val="20"/>
          <w:lang w:val="el-GR" w:eastAsia="el-GR"/>
        </w:rPr>
        <w:t>,</w:t>
      </w:r>
      <w:r w:rsidR="005015DE">
        <w:rPr>
          <w:rFonts w:ascii="Verdana" w:hAnsi="Verdana"/>
          <w:sz w:val="20"/>
          <w:lang w:val="el-GR" w:eastAsia="el-GR"/>
        </w:rPr>
        <w:t xml:space="preserve"> </w:t>
      </w:r>
      <w:r w:rsidR="00642DB6" w:rsidRPr="00931F23">
        <w:rPr>
          <w:rFonts w:ascii="Verdana" w:hAnsi="Verdana"/>
          <w:sz w:val="20"/>
          <w:lang w:val="el-GR" w:eastAsia="el-GR"/>
        </w:rPr>
        <w:t>910,6 εκατ. ευρώ</w:t>
      </w:r>
      <w:r w:rsidR="00642DB6" w:rsidRPr="00665EF1">
        <w:rPr>
          <w:rFonts w:ascii="Verdana" w:hAnsi="Verdana"/>
          <w:sz w:val="20"/>
          <w:lang w:val="el-GR" w:eastAsia="el-GR"/>
        </w:rPr>
        <w:t xml:space="preserve"> (ποσοστό </w:t>
      </w:r>
      <w:r w:rsidR="00642DB6" w:rsidRPr="00931F23">
        <w:rPr>
          <w:rFonts w:ascii="Verdana" w:hAnsi="Verdana"/>
          <w:sz w:val="20"/>
          <w:lang w:val="el-GR" w:eastAsia="el-GR"/>
        </w:rPr>
        <w:t>44,8%</w:t>
      </w:r>
      <w:r w:rsidR="00642DB6">
        <w:rPr>
          <w:rFonts w:ascii="Verdana" w:hAnsi="Verdana"/>
          <w:sz w:val="20"/>
          <w:lang w:val="el-GR" w:eastAsia="el-GR"/>
        </w:rPr>
        <w:t xml:space="preserve"> του συνόλου</w:t>
      </w:r>
      <w:r w:rsidR="00642DB6" w:rsidRPr="00665EF1">
        <w:rPr>
          <w:rFonts w:ascii="Verdana" w:hAnsi="Verdana"/>
          <w:sz w:val="20"/>
          <w:lang w:val="el-GR" w:eastAsia="el-GR"/>
        </w:rPr>
        <w:t>)</w:t>
      </w:r>
      <w:r w:rsidR="00642DB6">
        <w:rPr>
          <w:rFonts w:ascii="Verdana" w:hAnsi="Verdana"/>
          <w:sz w:val="20"/>
          <w:lang w:val="el-GR" w:eastAsia="el-GR"/>
        </w:rPr>
        <w:t xml:space="preserve">, </w:t>
      </w:r>
      <w:r w:rsidR="005015DE">
        <w:rPr>
          <w:rFonts w:ascii="Verdana" w:hAnsi="Verdana"/>
          <w:sz w:val="20"/>
          <w:lang w:val="el-GR" w:eastAsia="el-GR"/>
        </w:rPr>
        <w:t>προήλθε από τις επιχειρήσεις</w:t>
      </w:r>
      <w:r w:rsidR="00FE46CB" w:rsidRPr="00665EF1">
        <w:rPr>
          <w:rFonts w:ascii="Verdana" w:hAnsi="Verdana"/>
          <w:sz w:val="20"/>
          <w:lang w:val="el-GR" w:eastAsia="el-GR"/>
        </w:rPr>
        <w:t xml:space="preserve">. Το μεγαλύτερο μέρος, </w:t>
      </w:r>
      <w:r w:rsidR="00FE46CB">
        <w:rPr>
          <w:rFonts w:ascii="Verdana" w:hAnsi="Verdana"/>
          <w:sz w:val="20"/>
          <w:lang w:val="el-GR" w:eastAsia="el-GR"/>
        </w:rPr>
        <w:t>8</w:t>
      </w:r>
      <w:r w:rsidR="00B54B93" w:rsidRPr="00B54B93">
        <w:rPr>
          <w:rFonts w:ascii="Verdana" w:hAnsi="Verdana"/>
          <w:sz w:val="20"/>
          <w:lang w:val="el-GR" w:eastAsia="el-GR"/>
        </w:rPr>
        <w:t>3</w:t>
      </w:r>
      <w:r w:rsidR="00FE46CB">
        <w:rPr>
          <w:rFonts w:ascii="Verdana" w:hAnsi="Verdana"/>
          <w:sz w:val="20"/>
          <w:lang w:val="el-GR" w:eastAsia="el-GR"/>
        </w:rPr>
        <w:t>4,3</w:t>
      </w:r>
      <w:r w:rsidR="00FE46CB" w:rsidRPr="00665EF1">
        <w:rPr>
          <w:rFonts w:ascii="Verdana" w:hAnsi="Verdana"/>
          <w:sz w:val="20"/>
          <w:lang w:val="el-GR" w:eastAsia="el-GR"/>
        </w:rPr>
        <w:t xml:space="preserve"> εκατ. ευρώ, επενδύ</w:t>
      </w:r>
      <w:r>
        <w:rPr>
          <w:rFonts w:ascii="Verdana" w:hAnsi="Verdana"/>
          <w:sz w:val="20"/>
          <w:lang w:val="el-GR" w:eastAsia="el-GR"/>
        </w:rPr>
        <w:t>θηκε</w:t>
      </w:r>
      <w:r w:rsidR="00FE46CB" w:rsidRPr="00665EF1">
        <w:rPr>
          <w:rFonts w:ascii="Verdana" w:hAnsi="Verdana"/>
          <w:sz w:val="20"/>
          <w:lang w:val="el-GR" w:eastAsia="el-GR"/>
        </w:rPr>
        <w:t xml:space="preserve"> σε Ε&amp;Α που διενεργείται </w:t>
      </w:r>
      <w:r w:rsidR="00BB28CB" w:rsidRPr="00BB28CB">
        <w:rPr>
          <w:rFonts w:ascii="Verdana" w:hAnsi="Verdana"/>
          <w:sz w:val="20"/>
          <w:lang w:val="el-GR" w:eastAsia="el-GR"/>
        </w:rPr>
        <w:t>σ</w:t>
      </w:r>
      <w:r w:rsidR="00BB28CB">
        <w:rPr>
          <w:rFonts w:ascii="Verdana" w:hAnsi="Verdana"/>
          <w:sz w:val="20"/>
          <w:lang w:val="el-GR" w:eastAsia="el-GR"/>
        </w:rPr>
        <w:t>τι</w:t>
      </w:r>
      <w:r w:rsidR="00FE46CB" w:rsidRPr="00665EF1">
        <w:rPr>
          <w:rFonts w:ascii="Verdana" w:hAnsi="Verdana"/>
          <w:sz w:val="20"/>
          <w:lang w:val="el-GR" w:eastAsia="el-GR"/>
        </w:rPr>
        <w:t>ς ίδιες τις επιχειρήσεις</w:t>
      </w:r>
      <w:r>
        <w:rPr>
          <w:rFonts w:ascii="Verdana" w:hAnsi="Verdana"/>
          <w:sz w:val="20"/>
          <w:lang w:val="el-GR" w:eastAsia="el-GR"/>
        </w:rPr>
        <w:t xml:space="preserve">. Το </w:t>
      </w:r>
      <w:r w:rsidR="00FE46CB" w:rsidRPr="00665EF1">
        <w:rPr>
          <w:rFonts w:ascii="Verdana" w:hAnsi="Verdana"/>
          <w:sz w:val="20"/>
          <w:lang w:val="el-GR" w:eastAsia="el-GR"/>
        </w:rPr>
        <w:t>υπόλοιπο χρηματοδ</w:t>
      </w:r>
      <w:r>
        <w:rPr>
          <w:rFonts w:ascii="Verdana" w:hAnsi="Verdana"/>
          <w:sz w:val="20"/>
          <w:lang w:val="el-GR" w:eastAsia="el-GR"/>
        </w:rPr>
        <w:t xml:space="preserve">ότησε </w:t>
      </w:r>
      <w:r w:rsidR="00FE46CB" w:rsidRPr="00665EF1">
        <w:rPr>
          <w:rFonts w:ascii="Verdana" w:hAnsi="Verdana"/>
          <w:sz w:val="20"/>
          <w:lang w:val="el-GR" w:eastAsia="el-GR"/>
        </w:rPr>
        <w:t xml:space="preserve">Ε&amp;Α </w:t>
      </w:r>
      <w:r>
        <w:rPr>
          <w:rFonts w:ascii="Verdana" w:hAnsi="Verdana"/>
          <w:sz w:val="20"/>
          <w:lang w:val="el-GR" w:eastAsia="el-GR"/>
        </w:rPr>
        <w:t>στην</w:t>
      </w:r>
      <w:r w:rsidR="00FE46CB" w:rsidRPr="00665EF1">
        <w:rPr>
          <w:rFonts w:ascii="Verdana" w:hAnsi="Verdana"/>
          <w:sz w:val="20"/>
          <w:lang w:val="el-GR" w:eastAsia="el-GR"/>
        </w:rPr>
        <w:t xml:space="preserve"> τριτοβάθμια εκπαίδευση (</w:t>
      </w:r>
      <w:r w:rsidR="00FE46CB">
        <w:rPr>
          <w:rFonts w:ascii="Verdana" w:hAnsi="Verdana"/>
          <w:sz w:val="20"/>
          <w:lang w:val="el-GR" w:eastAsia="el-GR"/>
        </w:rPr>
        <w:t>48,1</w:t>
      </w:r>
      <w:r w:rsidR="00FE46CB" w:rsidRPr="00665EF1">
        <w:rPr>
          <w:rFonts w:ascii="Verdana" w:hAnsi="Verdana"/>
          <w:sz w:val="20"/>
          <w:lang w:val="el-GR" w:eastAsia="el-GR"/>
        </w:rPr>
        <w:t xml:space="preserve"> εκατ. ευρώ), στον κρατικό τομέα (</w:t>
      </w:r>
      <w:r w:rsidR="00FE46CB">
        <w:rPr>
          <w:rFonts w:ascii="Verdana" w:hAnsi="Verdana"/>
          <w:sz w:val="20"/>
          <w:lang w:val="el-GR" w:eastAsia="el-GR"/>
        </w:rPr>
        <w:t>25,2</w:t>
      </w:r>
      <w:r w:rsidR="00FE46CB" w:rsidRPr="00665EF1">
        <w:rPr>
          <w:rFonts w:ascii="Verdana" w:hAnsi="Verdana"/>
          <w:sz w:val="20"/>
          <w:lang w:val="el-GR" w:eastAsia="el-GR"/>
        </w:rPr>
        <w:t xml:space="preserve"> εκατ. ευρώ) και σε ιδιωτικά μη κερδοσκοπικά ιδρύματα (</w:t>
      </w:r>
      <w:r w:rsidR="00FE46CB">
        <w:rPr>
          <w:rFonts w:ascii="Verdana" w:hAnsi="Verdana"/>
          <w:sz w:val="20"/>
          <w:lang w:val="el-GR" w:eastAsia="el-GR"/>
        </w:rPr>
        <w:t>3,0</w:t>
      </w:r>
      <w:r w:rsidR="00FE46CB" w:rsidRPr="00665EF1">
        <w:rPr>
          <w:rFonts w:ascii="Verdana" w:hAnsi="Verdana"/>
          <w:sz w:val="20"/>
          <w:lang w:val="el-GR" w:eastAsia="el-GR"/>
        </w:rPr>
        <w:t xml:space="preserve"> εκατ. ευρώ).</w:t>
      </w:r>
      <w:r w:rsidR="0078059E">
        <w:rPr>
          <w:rFonts w:ascii="Verdana" w:hAnsi="Verdana"/>
          <w:sz w:val="20"/>
          <w:lang w:val="el-GR" w:eastAsia="el-GR"/>
        </w:rPr>
        <w:t xml:space="preserve"> </w:t>
      </w:r>
    </w:p>
    <w:p w:rsidR="0078059E" w:rsidRDefault="0078059E" w:rsidP="00665EF1">
      <w:pPr>
        <w:jc w:val="both"/>
        <w:rPr>
          <w:rFonts w:ascii="Verdana" w:hAnsi="Verdana"/>
          <w:sz w:val="20"/>
          <w:lang w:val="el-GR" w:eastAsia="el-GR"/>
        </w:rPr>
      </w:pPr>
    </w:p>
    <w:p w:rsidR="00472A13" w:rsidRPr="0039624E" w:rsidRDefault="00FE46CB" w:rsidP="00665EF1">
      <w:pPr>
        <w:jc w:val="both"/>
        <w:rPr>
          <w:rFonts w:ascii="Verdana" w:hAnsi="Verdana"/>
          <w:sz w:val="20"/>
          <w:lang w:val="el-GR" w:eastAsia="el-GR"/>
        </w:rPr>
      </w:pPr>
      <w:r>
        <w:rPr>
          <w:rFonts w:ascii="Verdana" w:hAnsi="Verdana"/>
          <w:sz w:val="20"/>
          <w:lang w:val="el-GR" w:eastAsia="el-GR"/>
        </w:rPr>
        <w:t xml:space="preserve">Η </w:t>
      </w:r>
      <w:r w:rsidR="00665EF1" w:rsidRPr="00665EF1">
        <w:rPr>
          <w:rFonts w:ascii="Verdana" w:hAnsi="Verdana"/>
          <w:sz w:val="20"/>
          <w:lang w:val="el-GR" w:eastAsia="el-GR"/>
        </w:rPr>
        <w:t xml:space="preserve">κρατική χρηματοδότηση </w:t>
      </w:r>
      <w:r w:rsidR="00D93537">
        <w:rPr>
          <w:rFonts w:ascii="Verdana" w:hAnsi="Verdana"/>
          <w:sz w:val="20"/>
          <w:lang w:val="el-GR" w:eastAsia="el-GR"/>
        </w:rPr>
        <w:t xml:space="preserve">(τακτικός προϋπολογισμός, εθνικό </w:t>
      </w:r>
      <w:r w:rsidR="00D93537" w:rsidRPr="00665EF1">
        <w:rPr>
          <w:rFonts w:ascii="Verdana" w:hAnsi="Verdana"/>
          <w:sz w:val="20"/>
          <w:lang w:val="el-GR" w:eastAsia="el-GR"/>
        </w:rPr>
        <w:t>σκέλος του Προγράμματος Δημοσίων Επενδύσεων</w:t>
      </w:r>
      <w:r w:rsidR="00D93537">
        <w:rPr>
          <w:rFonts w:ascii="Verdana" w:hAnsi="Verdana"/>
          <w:sz w:val="20"/>
          <w:lang w:val="el-GR" w:eastAsia="el-GR"/>
        </w:rPr>
        <w:t xml:space="preserve">, ΕΣΠΑ 2014-2020) </w:t>
      </w:r>
      <w:r w:rsidR="006D22BB">
        <w:rPr>
          <w:rFonts w:ascii="Verdana" w:hAnsi="Verdana"/>
          <w:sz w:val="20"/>
          <w:lang w:val="el-GR" w:eastAsia="el-GR"/>
        </w:rPr>
        <w:t>ανήλθε σε</w:t>
      </w:r>
      <w:r w:rsidR="00665EF1" w:rsidRPr="00665EF1">
        <w:rPr>
          <w:rFonts w:ascii="Verdana" w:hAnsi="Verdana"/>
          <w:sz w:val="20"/>
          <w:lang w:val="el-GR" w:eastAsia="el-GR"/>
        </w:rPr>
        <w:t xml:space="preserve"> </w:t>
      </w:r>
      <w:r>
        <w:rPr>
          <w:rFonts w:ascii="Verdana" w:hAnsi="Verdana"/>
          <w:sz w:val="20"/>
          <w:lang w:val="el-GR" w:eastAsia="el-GR"/>
        </w:rPr>
        <w:t>772,7</w:t>
      </w:r>
      <w:r w:rsidR="00665EF1" w:rsidRPr="00665EF1">
        <w:rPr>
          <w:rFonts w:ascii="Verdana" w:hAnsi="Verdana"/>
          <w:sz w:val="20"/>
          <w:lang w:val="el-GR" w:eastAsia="el-GR"/>
        </w:rPr>
        <w:t xml:space="preserve"> ευρώ </w:t>
      </w:r>
      <w:r w:rsidR="006D22BB">
        <w:rPr>
          <w:rFonts w:ascii="Verdana" w:hAnsi="Verdana"/>
          <w:sz w:val="20"/>
          <w:lang w:val="el-GR" w:eastAsia="el-GR"/>
        </w:rPr>
        <w:t>(</w:t>
      </w:r>
      <w:r>
        <w:rPr>
          <w:rFonts w:ascii="Verdana" w:hAnsi="Verdana"/>
          <w:sz w:val="20"/>
          <w:lang w:val="el-GR" w:eastAsia="el-GR"/>
        </w:rPr>
        <w:t>38,0</w:t>
      </w:r>
      <w:r w:rsidR="00665EF1" w:rsidRPr="00665EF1">
        <w:rPr>
          <w:rFonts w:ascii="Verdana" w:hAnsi="Verdana"/>
          <w:sz w:val="20"/>
          <w:lang w:val="el-GR" w:eastAsia="el-GR"/>
        </w:rPr>
        <w:t>% επί του συνόλου</w:t>
      </w:r>
      <w:r w:rsidR="006D22BB">
        <w:rPr>
          <w:rFonts w:ascii="Verdana" w:hAnsi="Verdana"/>
          <w:sz w:val="20"/>
          <w:lang w:val="el-GR" w:eastAsia="el-GR"/>
        </w:rPr>
        <w:t>)</w:t>
      </w:r>
      <w:r w:rsidR="00D93537">
        <w:rPr>
          <w:rFonts w:ascii="Verdana" w:hAnsi="Verdana"/>
          <w:sz w:val="20"/>
          <w:lang w:val="el-GR" w:eastAsia="el-GR"/>
        </w:rPr>
        <w:t xml:space="preserve">. Η κρατική χρηματοδότηση αποτελεί </w:t>
      </w:r>
      <w:r w:rsidR="00665EF1" w:rsidRPr="00665EF1">
        <w:rPr>
          <w:rFonts w:ascii="Verdana" w:hAnsi="Verdana"/>
          <w:sz w:val="20"/>
          <w:lang w:val="el-GR" w:eastAsia="el-GR"/>
        </w:rPr>
        <w:t xml:space="preserve">την κυριότερη πηγή χρηματοδότησης </w:t>
      </w:r>
      <w:r w:rsidR="00896BCD">
        <w:rPr>
          <w:rFonts w:ascii="Verdana" w:hAnsi="Verdana"/>
          <w:sz w:val="20"/>
          <w:lang w:val="el-GR" w:eastAsia="el-GR"/>
        </w:rPr>
        <w:t xml:space="preserve">Ε&amp;Α </w:t>
      </w:r>
      <w:r w:rsidR="00665EF1" w:rsidRPr="00665EF1">
        <w:rPr>
          <w:rFonts w:ascii="Verdana" w:hAnsi="Verdana"/>
          <w:sz w:val="20"/>
          <w:lang w:val="el-GR" w:eastAsia="el-GR"/>
        </w:rPr>
        <w:t xml:space="preserve">για την τριτοβάθμια εκπαίδευση και τον κρατικό τομέα. </w:t>
      </w:r>
      <w:r w:rsidR="006D22BB">
        <w:rPr>
          <w:rFonts w:ascii="Verdana" w:hAnsi="Verdana"/>
          <w:sz w:val="20"/>
          <w:lang w:val="el-GR" w:eastAsia="el-GR"/>
        </w:rPr>
        <w:t>Α</w:t>
      </w:r>
      <w:r w:rsidR="00665EF1" w:rsidRPr="00665EF1">
        <w:rPr>
          <w:rFonts w:ascii="Verdana" w:hAnsi="Verdana"/>
          <w:sz w:val="20"/>
          <w:lang w:val="el-GR" w:eastAsia="el-GR"/>
        </w:rPr>
        <w:t xml:space="preserve">ύξηση καταγράφεται στα κονδύλια τα οποία διατέθηκαν από τον τακτικό προϋπολογισμό (κατά </w:t>
      </w:r>
      <w:r w:rsidR="000C4446">
        <w:rPr>
          <w:rFonts w:ascii="Verdana" w:hAnsi="Verdana"/>
          <w:sz w:val="20"/>
          <w:lang w:val="el-GR" w:eastAsia="el-GR"/>
        </w:rPr>
        <w:t>43,9</w:t>
      </w:r>
      <w:r w:rsidR="00665EF1" w:rsidRPr="00665EF1">
        <w:rPr>
          <w:rFonts w:ascii="Verdana" w:hAnsi="Verdana"/>
          <w:sz w:val="20"/>
          <w:lang w:val="el-GR" w:eastAsia="el-GR"/>
        </w:rPr>
        <w:t xml:space="preserve"> εκατ. ευρώ σε σχέση με το 201</w:t>
      </w:r>
      <w:r>
        <w:rPr>
          <w:rFonts w:ascii="Verdana" w:hAnsi="Verdana"/>
          <w:sz w:val="20"/>
          <w:lang w:val="el-GR" w:eastAsia="el-GR"/>
        </w:rPr>
        <w:t>6</w:t>
      </w:r>
      <w:r w:rsidR="00665EF1" w:rsidRPr="00665EF1">
        <w:rPr>
          <w:rFonts w:ascii="Verdana" w:hAnsi="Verdana"/>
          <w:sz w:val="20"/>
          <w:lang w:val="el-GR" w:eastAsia="el-GR"/>
        </w:rPr>
        <w:t>)</w:t>
      </w:r>
      <w:r w:rsidR="006C6986">
        <w:rPr>
          <w:rFonts w:ascii="Verdana" w:hAnsi="Verdana"/>
          <w:sz w:val="20"/>
          <w:lang w:val="el-GR" w:eastAsia="el-GR"/>
        </w:rPr>
        <w:t xml:space="preserve"> και </w:t>
      </w:r>
      <w:r>
        <w:rPr>
          <w:rFonts w:ascii="Verdana" w:hAnsi="Verdana"/>
          <w:sz w:val="20"/>
          <w:lang w:val="el-GR" w:eastAsia="el-GR"/>
        </w:rPr>
        <w:t xml:space="preserve">το </w:t>
      </w:r>
      <w:r w:rsidR="00665EF1" w:rsidRPr="00665EF1">
        <w:rPr>
          <w:rFonts w:ascii="Verdana" w:hAnsi="Verdana"/>
          <w:sz w:val="20"/>
          <w:lang w:val="el-GR" w:eastAsia="el-GR"/>
        </w:rPr>
        <w:t xml:space="preserve">εθνικό σκέλος </w:t>
      </w:r>
      <w:r w:rsidR="00D93537">
        <w:rPr>
          <w:rFonts w:ascii="Verdana" w:hAnsi="Verdana"/>
          <w:sz w:val="20"/>
          <w:lang w:val="el-GR" w:eastAsia="el-GR"/>
        </w:rPr>
        <w:t>ΠΔΕ</w:t>
      </w:r>
      <w:r w:rsidR="00665EF1" w:rsidRPr="00665EF1">
        <w:rPr>
          <w:rFonts w:ascii="Verdana" w:hAnsi="Verdana"/>
          <w:sz w:val="20"/>
          <w:lang w:val="el-GR" w:eastAsia="el-GR"/>
        </w:rPr>
        <w:t xml:space="preserve"> (κατά </w:t>
      </w:r>
      <w:r>
        <w:rPr>
          <w:rFonts w:ascii="Verdana" w:hAnsi="Verdana"/>
          <w:sz w:val="20"/>
          <w:lang w:val="el-GR" w:eastAsia="el-GR"/>
        </w:rPr>
        <w:t>3,5</w:t>
      </w:r>
      <w:r w:rsidR="00665EF1" w:rsidRPr="00665EF1">
        <w:rPr>
          <w:rFonts w:ascii="Verdana" w:hAnsi="Verdana"/>
          <w:sz w:val="20"/>
          <w:lang w:val="el-GR" w:eastAsia="el-GR"/>
        </w:rPr>
        <w:t xml:space="preserve"> εκατ. ευρώ σε σχέση με το 201</w:t>
      </w:r>
      <w:r>
        <w:rPr>
          <w:rFonts w:ascii="Verdana" w:hAnsi="Verdana"/>
          <w:sz w:val="20"/>
          <w:lang w:val="el-GR" w:eastAsia="el-GR"/>
        </w:rPr>
        <w:t>6</w:t>
      </w:r>
      <w:r w:rsidR="00665EF1" w:rsidRPr="00665EF1">
        <w:rPr>
          <w:rFonts w:ascii="Verdana" w:hAnsi="Verdana"/>
          <w:sz w:val="20"/>
          <w:lang w:val="el-GR" w:eastAsia="el-GR"/>
        </w:rPr>
        <w:t>)</w:t>
      </w:r>
      <w:r w:rsidR="00D93537">
        <w:rPr>
          <w:rFonts w:ascii="Verdana" w:hAnsi="Verdana"/>
          <w:sz w:val="20"/>
          <w:lang w:val="el-GR" w:eastAsia="el-GR"/>
        </w:rPr>
        <w:t xml:space="preserve">. </w:t>
      </w:r>
    </w:p>
    <w:p w:rsidR="00665EF1" w:rsidRPr="00665EF1" w:rsidRDefault="00665EF1" w:rsidP="00665EF1">
      <w:pPr>
        <w:jc w:val="both"/>
        <w:rPr>
          <w:rFonts w:ascii="Verdana" w:hAnsi="Verdana"/>
          <w:sz w:val="20"/>
          <w:lang w:val="el-GR" w:eastAsia="el-GR"/>
        </w:rPr>
      </w:pPr>
    </w:p>
    <w:p w:rsidR="00665EF1" w:rsidRDefault="00665EF1" w:rsidP="00665EF1">
      <w:pPr>
        <w:jc w:val="both"/>
        <w:rPr>
          <w:rFonts w:ascii="Verdana" w:hAnsi="Verdana"/>
          <w:sz w:val="20"/>
          <w:lang w:val="el-GR" w:eastAsia="el-GR"/>
        </w:rPr>
      </w:pPr>
      <w:r w:rsidRPr="00665EF1">
        <w:rPr>
          <w:rFonts w:ascii="Verdana" w:hAnsi="Verdana"/>
          <w:sz w:val="20"/>
          <w:lang w:val="el-GR" w:eastAsia="el-GR"/>
        </w:rPr>
        <w:t xml:space="preserve">Η Ευρωπαϊκή Ένωση </w:t>
      </w:r>
      <w:r w:rsidR="00896BCD" w:rsidRPr="00665EF1">
        <w:rPr>
          <w:rFonts w:ascii="Verdana" w:hAnsi="Verdana"/>
          <w:sz w:val="20"/>
          <w:lang w:val="el-GR" w:eastAsia="el-GR"/>
        </w:rPr>
        <w:t xml:space="preserve">αποτελεί την τρίτη </w:t>
      </w:r>
      <w:r w:rsidR="00896BCD">
        <w:rPr>
          <w:rFonts w:ascii="Verdana" w:hAnsi="Verdana"/>
          <w:sz w:val="20"/>
          <w:lang w:val="el-GR" w:eastAsia="el-GR"/>
        </w:rPr>
        <w:t xml:space="preserve">κατά σειρά </w:t>
      </w:r>
      <w:r w:rsidR="00896BCD" w:rsidRPr="00665EF1">
        <w:rPr>
          <w:rFonts w:ascii="Verdana" w:hAnsi="Verdana"/>
          <w:sz w:val="20"/>
          <w:lang w:val="el-GR" w:eastAsia="el-GR"/>
        </w:rPr>
        <w:t>πηγή χρηματοδότησης</w:t>
      </w:r>
      <w:r w:rsidR="00896BCD">
        <w:rPr>
          <w:rFonts w:ascii="Verdana" w:hAnsi="Verdana"/>
          <w:sz w:val="20"/>
          <w:lang w:val="el-GR" w:eastAsia="el-GR"/>
        </w:rPr>
        <w:t xml:space="preserve"> Ε&amp;Α, </w:t>
      </w:r>
      <w:r w:rsidR="00896BCD" w:rsidRPr="00665EF1">
        <w:rPr>
          <w:rFonts w:ascii="Verdana" w:hAnsi="Verdana"/>
          <w:sz w:val="20"/>
          <w:lang w:val="el-GR" w:eastAsia="el-GR"/>
        </w:rPr>
        <w:t xml:space="preserve">με </w:t>
      </w:r>
      <w:r w:rsidR="00896BCD">
        <w:rPr>
          <w:rFonts w:ascii="Verdana" w:hAnsi="Verdana"/>
          <w:sz w:val="20"/>
          <w:lang w:val="el-GR" w:eastAsia="el-GR"/>
        </w:rPr>
        <w:t>215,1</w:t>
      </w:r>
      <w:r w:rsidR="00896BCD" w:rsidRPr="00665EF1">
        <w:rPr>
          <w:rFonts w:ascii="Verdana" w:hAnsi="Verdana"/>
          <w:sz w:val="20"/>
          <w:lang w:val="el-GR" w:eastAsia="el-GR"/>
        </w:rPr>
        <w:t xml:space="preserve"> εκατ. ευρώ </w:t>
      </w:r>
      <w:r w:rsidR="00896BCD" w:rsidRPr="00510845">
        <w:rPr>
          <w:rFonts w:ascii="Verdana" w:hAnsi="Verdana"/>
          <w:sz w:val="20"/>
          <w:lang w:val="el-GR" w:eastAsia="el-GR"/>
        </w:rPr>
        <w:t xml:space="preserve">(ποσοστό </w:t>
      </w:r>
      <w:r w:rsidR="00896BCD">
        <w:rPr>
          <w:rFonts w:ascii="Verdana" w:hAnsi="Verdana"/>
          <w:sz w:val="20"/>
          <w:lang w:val="el-GR" w:eastAsia="el-GR"/>
        </w:rPr>
        <w:t>10,6</w:t>
      </w:r>
      <w:r w:rsidR="00896BCD" w:rsidRPr="00510845">
        <w:rPr>
          <w:rFonts w:ascii="Verdana" w:hAnsi="Verdana"/>
          <w:sz w:val="20"/>
          <w:lang w:val="el-GR" w:eastAsia="el-GR"/>
        </w:rPr>
        <w:t>% του συνόλου)</w:t>
      </w:r>
      <w:r w:rsidR="00896BCD">
        <w:rPr>
          <w:rFonts w:ascii="Verdana" w:hAnsi="Verdana"/>
          <w:sz w:val="20"/>
          <w:lang w:val="el-GR" w:eastAsia="el-GR"/>
        </w:rPr>
        <w:t>,</w:t>
      </w:r>
      <w:r w:rsidR="006D22BB" w:rsidRPr="00665EF1">
        <w:rPr>
          <w:rFonts w:ascii="Verdana" w:hAnsi="Verdana"/>
          <w:sz w:val="20"/>
          <w:lang w:val="el-GR" w:eastAsia="el-GR"/>
        </w:rPr>
        <w:t xml:space="preserve"> </w:t>
      </w:r>
      <w:r w:rsidR="00896BCD">
        <w:rPr>
          <w:rFonts w:ascii="Verdana" w:hAnsi="Verdana"/>
          <w:sz w:val="20"/>
          <w:lang w:val="el-GR" w:eastAsia="el-GR"/>
        </w:rPr>
        <w:t xml:space="preserve">που επίσης καταγράφει </w:t>
      </w:r>
      <w:r w:rsidR="00896BCD" w:rsidRPr="00665EF1">
        <w:rPr>
          <w:rFonts w:ascii="Verdana" w:hAnsi="Verdana"/>
          <w:sz w:val="20"/>
          <w:lang w:val="el-GR" w:eastAsia="el-GR"/>
        </w:rPr>
        <w:t>αυξητική πορεία τα τελευταία έτη</w:t>
      </w:r>
      <w:r w:rsidR="00896BCD">
        <w:rPr>
          <w:rFonts w:ascii="Verdana" w:hAnsi="Verdana"/>
          <w:sz w:val="20"/>
          <w:lang w:val="el-GR" w:eastAsia="el-GR"/>
        </w:rPr>
        <w:t xml:space="preserve">. </w:t>
      </w:r>
      <w:r w:rsidR="006D22BB">
        <w:rPr>
          <w:rFonts w:ascii="Verdana" w:hAnsi="Verdana"/>
          <w:sz w:val="20"/>
          <w:lang w:val="el-GR" w:eastAsia="el-GR"/>
        </w:rPr>
        <w:t>Η ΕΕ</w:t>
      </w:r>
      <w:r w:rsidR="00896BCD">
        <w:rPr>
          <w:rFonts w:ascii="Verdana" w:hAnsi="Verdana"/>
          <w:sz w:val="20"/>
          <w:lang w:val="el-GR" w:eastAsia="el-GR"/>
        </w:rPr>
        <w:t xml:space="preserve"> χρηματοδ</w:t>
      </w:r>
      <w:r w:rsidR="00054E02">
        <w:rPr>
          <w:rFonts w:ascii="Verdana" w:hAnsi="Verdana"/>
          <w:sz w:val="20"/>
          <w:lang w:val="el-GR" w:eastAsia="el-GR"/>
        </w:rPr>
        <w:t xml:space="preserve">ότησε </w:t>
      </w:r>
      <w:r w:rsidR="00896BCD">
        <w:rPr>
          <w:rFonts w:ascii="Verdana" w:hAnsi="Verdana"/>
          <w:sz w:val="20"/>
          <w:lang w:val="el-GR" w:eastAsia="el-GR"/>
        </w:rPr>
        <w:t>ερευνητικά έργα σε όλους τους τομείς</w:t>
      </w:r>
      <w:r w:rsidR="00054E02">
        <w:rPr>
          <w:rFonts w:ascii="Verdana" w:hAnsi="Verdana"/>
          <w:sz w:val="20"/>
          <w:lang w:val="el-GR" w:eastAsia="el-GR"/>
        </w:rPr>
        <w:t xml:space="preserve">, κυρίως </w:t>
      </w:r>
      <w:r w:rsidR="00896BCD">
        <w:rPr>
          <w:rFonts w:ascii="Verdana" w:hAnsi="Verdana"/>
          <w:sz w:val="20"/>
          <w:lang w:val="el-GR" w:eastAsia="el-GR"/>
        </w:rPr>
        <w:t>στο πλαίσιο του</w:t>
      </w:r>
      <w:r w:rsidRPr="00665EF1">
        <w:rPr>
          <w:rFonts w:ascii="Verdana" w:hAnsi="Verdana"/>
          <w:sz w:val="20"/>
          <w:lang w:val="el-GR" w:eastAsia="el-GR"/>
        </w:rPr>
        <w:t xml:space="preserve"> Ορίζοντα 2020, το τρέχον Πρόγραμμα για την Έρευνα και Καινοτομία</w:t>
      </w:r>
      <w:r w:rsidR="00896BCD">
        <w:rPr>
          <w:rFonts w:ascii="Verdana" w:hAnsi="Verdana"/>
          <w:sz w:val="20"/>
          <w:lang w:val="el-GR" w:eastAsia="el-GR"/>
        </w:rPr>
        <w:t>,</w:t>
      </w:r>
      <w:r w:rsidR="00DA3AAA">
        <w:rPr>
          <w:rFonts w:ascii="Verdana" w:hAnsi="Verdana"/>
          <w:sz w:val="20"/>
          <w:lang w:val="el-GR" w:eastAsia="el-GR"/>
        </w:rPr>
        <w:t xml:space="preserve"> στο οποίο οι ελληνικοί φορείς έχουν κατακτήσει διαχρονικά υψηλές επιδόσεις. </w:t>
      </w:r>
    </w:p>
    <w:p w:rsidR="00DA3AAA" w:rsidRDefault="00DA3AAA" w:rsidP="00665EF1">
      <w:pPr>
        <w:jc w:val="both"/>
        <w:rPr>
          <w:rFonts w:ascii="Verdana" w:hAnsi="Verdana"/>
          <w:sz w:val="20"/>
          <w:lang w:val="el-GR" w:eastAsia="el-GR"/>
        </w:rPr>
      </w:pPr>
    </w:p>
    <w:p w:rsidR="00C8473A" w:rsidRDefault="00C8473A" w:rsidP="00C8473A">
      <w:pPr>
        <w:jc w:val="both"/>
        <w:rPr>
          <w:rFonts w:ascii="Verdana" w:hAnsi="Verdana"/>
          <w:sz w:val="20"/>
          <w:lang w:val="el-GR" w:eastAsia="el-GR"/>
        </w:rPr>
      </w:pPr>
      <w:r>
        <w:rPr>
          <w:rFonts w:ascii="Verdana" w:hAnsi="Verdana"/>
          <w:sz w:val="20"/>
          <w:lang w:val="el-GR" w:eastAsia="el-GR"/>
        </w:rPr>
        <w:t>Σημαντική αύξηση καταγράφηκε τέλος στις ιδιωτικές επενδύσεις από το εξωτερικό στην Ελλάδα για τη χρηματοδότηση Ε&amp;Α σε επιχειρήσεις (55,8 εκατ. ευρώ το 2017 από 25,2 εκατ. ευρώ το 2016, αύξηση 121,</w:t>
      </w:r>
      <w:r w:rsidR="00381FD9">
        <w:rPr>
          <w:rFonts w:ascii="Verdana" w:hAnsi="Verdana"/>
          <w:sz w:val="20"/>
          <w:lang w:val="en-US" w:eastAsia="el-GR"/>
        </w:rPr>
        <w:t>4</w:t>
      </w:r>
      <w:bookmarkStart w:id="0" w:name="_GoBack"/>
      <w:bookmarkEnd w:id="0"/>
      <w:r>
        <w:rPr>
          <w:rFonts w:ascii="Verdana" w:hAnsi="Verdana"/>
          <w:sz w:val="20"/>
          <w:lang w:val="el-GR" w:eastAsia="el-GR"/>
        </w:rPr>
        <w:t xml:space="preserve">%). </w:t>
      </w:r>
    </w:p>
    <w:p w:rsidR="00C8473A" w:rsidRDefault="00C8473A" w:rsidP="00C8473A">
      <w:pPr>
        <w:jc w:val="both"/>
        <w:rPr>
          <w:rFonts w:ascii="Verdana" w:hAnsi="Verdana"/>
          <w:sz w:val="20"/>
          <w:lang w:val="el-GR" w:eastAsia="el-GR"/>
        </w:rPr>
      </w:pPr>
      <w:r>
        <w:rPr>
          <w:rFonts w:ascii="Verdana" w:hAnsi="Verdana"/>
          <w:sz w:val="20"/>
          <w:lang w:val="el-GR" w:eastAsia="el-GR"/>
        </w:rPr>
        <w:t xml:space="preserve">    </w:t>
      </w:r>
    </w:p>
    <w:p w:rsidR="00490B85" w:rsidRDefault="00052AF0" w:rsidP="0077580B">
      <w:pPr>
        <w:jc w:val="both"/>
        <w:rPr>
          <w:rFonts w:ascii="Verdana" w:hAnsi="Verdana"/>
          <w:sz w:val="20"/>
          <w:lang w:val="el-GR" w:eastAsia="el-GR"/>
        </w:rPr>
      </w:pPr>
      <w:r w:rsidRPr="00A35E84">
        <w:rPr>
          <w:rFonts w:ascii="Verdana" w:hAnsi="Verdana"/>
          <w:sz w:val="20"/>
          <w:lang w:val="el-GR" w:eastAsia="el-GR"/>
        </w:rPr>
        <w:t>Τ</w:t>
      </w:r>
      <w:r w:rsidR="00490B85" w:rsidRPr="00A35E84">
        <w:rPr>
          <w:rFonts w:ascii="Verdana" w:hAnsi="Verdana"/>
          <w:sz w:val="20"/>
          <w:lang w:val="el-GR" w:eastAsia="el-GR"/>
        </w:rPr>
        <w:t xml:space="preserve">α στατιστικά στοιχεία και οι δείκτες για την Έρευνα, Ανάπτυξη και Καινοτομία στην Ελλάδα, τα οποία παράγονται και εκδίδονται από το ΕΚΤ, αποστέλλονται σε τακτική βάση στη </w:t>
      </w:r>
      <w:proofErr w:type="spellStart"/>
      <w:r w:rsidR="00490B85" w:rsidRPr="00A35E84">
        <w:rPr>
          <w:rFonts w:ascii="Verdana" w:hAnsi="Verdana"/>
          <w:sz w:val="20"/>
          <w:lang w:val="el-GR" w:eastAsia="el-GR"/>
        </w:rPr>
        <w:t>Eurostat</w:t>
      </w:r>
      <w:proofErr w:type="spellEnd"/>
      <w:r w:rsidR="00490B85" w:rsidRPr="00A35E84">
        <w:rPr>
          <w:rFonts w:ascii="Verdana" w:hAnsi="Verdana"/>
          <w:sz w:val="20"/>
          <w:lang w:val="el-GR" w:eastAsia="el-GR"/>
        </w:rPr>
        <w:t xml:space="preserve"> και τον ΟΟΣΑ. Η ανάλυση των στοιχείων και η εξαγωγή των σχετικών δεικτών δημοσιεύονται σε έντυπες και ηλεκτρονικές εκδόσεις του ΕΚΤ που διατίθενται στον δικτυακό τόπο </w:t>
      </w:r>
      <w:hyperlink r:id="rId11" w:history="1">
        <w:r w:rsidR="003F3073" w:rsidRPr="00A35E84">
          <w:rPr>
            <w:rStyle w:val="-"/>
            <w:rFonts w:ascii="Verdana" w:hAnsi="Verdana"/>
            <w:sz w:val="20"/>
            <w:lang w:val="el-GR" w:eastAsia="el-GR"/>
          </w:rPr>
          <w:t>http://metrics.ekt.gr</w:t>
        </w:r>
      </w:hyperlink>
      <w:r w:rsidR="00490B85" w:rsidRPr="00A35E84">
        <w:rPr>
          <w:rFonts w:ascii="Verdana" w:hAnsi="Verdana"/>
          <w:sz w:val="20"/>
          <w:lang w:val="el-GR" w:eastAsia="el-GR"/>
        </w:rPr>
        <w:t xml:space="preserve">. </w:t>
      </w:r>
    </w:p>
    <w:p w:rsidR="0028410B" w:rsidRDefault="0028410B" w:rsidP="0077580B">
      <w:pPr>
        <w:jc w:val="both"/>
        <w:rPr>
          <w:rFonts w:ascii="Verdana" w:hAnsi="Verdana"/>
          <w:sz w:val="20"/>
          <w:lang w:val="el-GR" w:eastAsia="el-GR"/>
        </w:rPr>
      </w:pPr>
    </w:p>
    <w:p w:rsidR="00490B85" w:rsidRPr="00A35E84" w:rsidRDefault="00490B85" w:rsidP="00490B85">
      <w:pPr>
        <w:jc w:val="both"/>
        <w:rPr>
          <w:rFonts w:ascii="Verdana" w:hAnsi="Verdana"/>
          <w:sz w:val="16"/>
          <w:lang w:val="el-GR" w:eastAsia="el-GR"/>
        </w:rPr>
      </w:pPr>
    </w:p>
    <w:p w:rsidR="00DD5554" w:rsidRPr="00A35E84" w:rsidRDefault="00DD5554" w:rsidP="00490B85">
      <w:pPr>
        <w:jc w:val="both"/>
        <w:rPr>
          <w:rFonts w:ascii="Verdana" w:eastAsia="Batang" w:hAnsi="Verdana"/>
          <w:b/>
          <w:sz w:val="20"/>
          <w:lang w:val="el-GR" w:eastAsia="el-GR"/>
        </w:rPr>
      </w:pPr>
      <w:r w:rsidRPr="00A35E84">
        <w:rPr>
          <w:rFonts w:ascii="Verdana" w:eastAsia="Batang" w:hAnsi="Verdana"/>
          <w:b/>
          <w:sz w:val="20"/>
          <w:lang w:val="el-GR" w:eastAsia="el-GR"/>
        </w:rPr>
        <w:t xml:space="preserve">Διευθύνσεις στο Διαδίκτυο </w:t>
      </w:r>
    </w:p>
    <w:p w:rsidR="00DD5554" w:rsidRPr="00A35E84" w:rsidRDefault="00DD5554" w:rsidP="00490B85">
      <w:pPr>
        <w:jc w:val="both"/>
        <w:rPr>
          <w:rFonts w:ascii="Verdana" w:eastAsia="Batang" w:hAnsi="Verdana"/>
          <w:b/>
          <w:sz w:val="20"/>
          <w:lang w:val="el-GR" w:eastAsia="el-GR"/>
        </w:rPr>
      </w:pPr>
    </w:p>
    <w:p w:rsidR="00B065C0" w:rsidRDefault="00DD5554" w:rsidP="00490B85">
      <w:pPr>
        <w:jc w:val="both"/>
        <w:rPr>
          <w:rFonts w:ascii="Verdana" w:eastAsia="Batang" w:hAnsi="Verdana"/>
          <w:sz w:val="20"/>
          <w:lang w:val="el-GR" w:eastAsia="el-GR"/>
        </w:rPr>
      </w:pPr>
      <w:r w:rsidRPr="00A35E84">
        <w:rPr>
          <w:rFonts w:ascii="Verdana" w:eastAsia="Batang" w:hAnsi="Verdana"/>
          <w:sz w:val="20"/>
          <w:lang w:val="el-GR" w:eastAsia="el-GR"/>
        </w:rPr>
        <w:t>"Βασικοί Δείκτες Έρευνας και Ανάπτυξης γ</w:t>
      </w:r>
      <w:r w:rsidR="00913DE9">
        <w:rPr>
          <w:rFonts w:ascii="Verdana" w:eastAsia="Batang" w:hAnsi="Verdana"/>
          <w:sz w:val="20"/>
          <w:lang w:val="el-GR" w:eastAsia="el-GR"/>
        </w:rPr>
        <w:t>ια δαπάνες και προσωπικό το 201</w:t>
      </w:r>
      <w:r w:rsidR="0078059E">
        <w:rPr>
          <w:rFonts w:ascii="Verdana" w:eastAsia="Batang" w:hAnsi="Verdana"/>
          <w:sz w:val="20"/>
          <w:lang w:val="el-GR" w:eastAsia="el-GR"/>
        </w:rPr>
        <w:t>7</w:t>
      </w:r>
      <w:r w:rsidRPr="00A35E84">
        <w:rPr>
          <w:rFonts w:ascii="Verdana" w:eastAsia="Batang" w:hAnsi="Verdana"/>
          <w:sz w:val="20"/>
          <w:lang w:val="el-GR" w:eastAsia="el-GR"/>
        </w:rPr>
        <w:t xml:space="preserve"> στην </w:t>
      </w:r>
      <w:r w:rsidRPr="00B065C0">
        <w:rPr>
          <w:rFonts w:ascii="Verdana" w:eastAsia="Batang" w:hAnsi="Verdana"/>
          <w:sz w:val="20"/>
          <w:lang w:val="el-GR" w:eastAsia="el-GR"/>
        </w:rPr>
        <w:t>Ελλάδα</w:t>
      </w:r>
      <w:r w:rsidR="0028410B" w:rsidRPr="0028410B">
        <w:rPr>
          <w:rFonts w:ascii="Verdana" w:eastAsia="Batang" w:hAnsi="Verdana"/>
          <w:sz w:val="20"/>
          <w:lang w:val="el-GR" w:eastAsia="el-GR"/>
        </w:rPr>
        <w:t>, Προκαταρκτικ</w:t>
      </w:r>
      <w:r w:rsidR="0028410B">
        <w:rPr>
          <w:rFonts w:ascii="Verdana" w:eastAsia="Batang" w:hAnsi="Verdana"/>
          <w:sz w:val="20"/>
          <w:lang w:val="el-GR" w:eastAsia="el-GR"/>
        </w:rPr>
        <w:t>ά στοιχεία</w:t>
      </w:r>
      <w:r w:rsidRPr="00B065C0">
        <w:rPr>
          <w:rFonts w:ascii="Verdana" w:eastAsia="Batang" w:hAnsi="Verdana"/>
          <w:sz w:val="20"/>
          <w:lang w:val="el-GR" w:eastAsia="el-GR"/>
        </w:rPr>
        <w:t>"</w:t>
      </w:r>
    </w:p>
    <w:p w:rsidR="00016B9D" w:rsidRPr="00B065C0" w:rsidRDefault="00381FD9" w:rsidP="00490B85">
      <w:pPr>
        <w:jc w:val="both"/>
        <w:rPr>
          <w:rFonts w:ascii="Verdana" w:eastAsia="Batang" w:hAnsi="Verdana"/>
          <w:sz w:val="20"/>
          <w:lang w:val="el-GR" w:eastAsia="el-GR"/>
        </w:rPr>
      </w:pPr>
      <w:hyperlink r:id="rId12" w:history="1">
        <w:r w:rsidR="00016B9D" w:rsidRPr="00064A90">
          <w:rPr>
            <w:rStyle w:val="-"/>
            <w:rFonts w:ascii="Verdana" w:eastAsia="Batang" w:hAnsi="Verdana"/>
            <w:sz w:val="20"/>
            <w:lang w:val="el-GR" w:eastAsia="el-GR"/>
          </w:rPr>
          <w:t>http://metrics.ekt.gr/el/node/378</w:t>
        </w:r>
      </w:hyperlink>
      <w:r w:rsidR="00016B9D">
        <w:rPr>
          <w:rFonts w:ascii="Verdana" w:eastAsia="Batang" w:hAnsi="Verdana"/>
          <w:sz w:val="20"/>
          <w:lang w:val="el-GR" w:eastAsia="el-GR"/>
        </w:rPr>
        <w:t xml:space="preserve"> </w:t>
      </w:r>
    </w:p>
    <w:p w:rsidR="00C7187A" w:rsidRPr="00016B9D" w:rsidRDefault="00C7187A" w:rsidP="00490B85">
      <w:pPr>
        <w:jc w:val="both"/>
        <w:rPr>
          <w:rFonts w:ascii="Verdana" w:hAnsi="Verdana"/>
          <w:sz w:val="20"/>
          <w:lang w:val="el-GR" w:eastAsia="el-GR"/>
        </w:rPr>
      </w:pPr>
    </w:p>
    <w:p w:rsidR="00187101" w:rsidRPr="00B065C0" w:rsidRDefault="00187101" w:rsidP="00490B85">
      <w:pPr>
        <w:jc w:val="both"/>
        <w:rPr>
          <w:rFonts w:ascii="Verdana" w:hAnsi="Verdana"/>
          <w:sz w:val="20"/>
          <w:lang w:val="el-GR" w:eastAsia="el-GR"/>
        </w:rPr>
      </w:pPr>
      <w:r w:rsidRPr="00B065C0">
        <w:rPr>
          <w:rFonts w:ascii="Verdana" w:hAnsi="Verdana"/>
          <w:sz w:val="20"/>
          <w:lang w:val="el-GR" w:eastAsia="el-GR"/>
        </w:rPr>
        <w:t>ΕΚΤ – Δείκτες Έρευνας, Ανάπτυξης, Καινοτομίας</w:t>
      </w:r>
    </w:p>
    <w:p w:rsidR="00187101" w:rsidRPr="00187101" w:rsidRDefault="00381FD9" w:rsidP="00490B85">
      <w:pPr>
        <w:jc w:val="both"/>
        <w:rPr>
          <w:rFonts w:ascii="Verdana" w:eastAsia="Batang" w:hAnsi="Verdana"/>
          <w:b/>
          <w:sz w:val="20"/>
          <w:lang w:val="el-GR" w:eastAsia="el-GR"/>
        </w:rPr>
      </w:pPr>
      <w:hyperlink r:id="rId13" w:history="1">
        <w:r w:rsidR="00187101" w:rsidRPr="00DE1383">
          <w:rPr>
            <w:rStyle w:val="-"/>
            <w:rFonts w:ascii="Verdana" w:hAnsi="Verdana"/>
            <w:sz w:val="20"/>
            <w:lang w:val="en-US" w:eastAsia="el-GR"/>
          </w:rPr>
          <w:t>http</w:t>
        </w:r>
        <w:r w:rsidR="00187101" w:rsidRPr="00187101">
          <w:rPr>
            <w:rStyle w:val="-"/>
            <w:rFonts w:ascii="Verdana" w:hAnsi="Verdana"/>
            <w:sz w:val="20"/>
            <w:lang w:val="el-GR" w:eastAsia="el-GR"/>
          </w:rPr>
          <w:t>://</w:t>
        </w:r>
        <w:r w:rsidR="00187101" w:rsidRPr="00DE1383">
          <w:rPr>
            <w:rStyle w:val="-"/>
            <w:rFonts w:ascii="Verdana" w:hAnsi="Verdana"/>
            <w:sz w:val="20"/>
            <w:lang w:val="en-US" w:eastAsia="el-GR"/>
          </w:rPr>
          <w:t>metrics</w:t>
        </w:r>
        <w:r w:rsidR="00187101" w:rsidRPr="00187101">
          <w:rPr>
            <w:rStyle w:val="-"/>
            <w:rFonts w:ascii="Verdana" w:hAnsi="Verdana"/>
            <w:sz w:val="20"/>
            <w:lang w:val="el-GR" w:eastAsia="el-GR"/>
          </w:rPr>
          <w:t>.</w:t>
        </w:r>
        <w:proofErr w:type="spellStart"/>
        <w:r w:rsidR="00187101" w:rsidRPr="00DE1383">
          <w:rPr>
            <w:rStyle w:val="-"/>
            <w:rFonts w:ascii="Verdana" w:hAnsi="Verdana"/>
            <w:sz w:val="20"/>
            <w:lang w:val="en-US" w:eastAsia="el-GR"/>
          </w:rPr>
          <w:t>ekt</w:t>
        </w:r>
        <w:proofErr w:type="spellEnd"/>
        <w:r w:rsidR="00187101" w:rsidRPr="00187101">
          <w:rPr>
            <w:rStyle w:val="-"/>
            <w:rFonts w:ascii="Verdana" w:hAnsi="Verdana"/>
            <w:sz w:val="20"/>
            <w:lang w:val="el-GR" w:eastAsia="el-GR"/>
          </w:rPr>
          <w:t>.</w:t>
        </w:r>
        <w:r w:rsidR="00187101" w:rsidRPr="00DE1383">
          <w:rPr>
            <w:rStyle w:val="-"/>
            <w:rFonts w:ascii="Verdana" w:hAnsi="Verdana"/>
            <w:sz w:val="20"/>
            <w:lang w:val="en-US" w:eastAsia="el-GR"/>
          </w:rPr>
          <w:t>gr</w:t>
        </w:r>
      </w:hyperlink>
      <w:r w:rsidR="00187101" w:rsidRPr="00187101">
        <w:rPr>
          <w:rFonts w:ascii="Verdana" w:hAnsi="Verdana"/>
          <w:sz w:val="20"/>
          <w:lang w:val="el-GR" w:eastAsia="el-GR"/>
        </w:rPr>
        <w:t xml:space="preserve"> </w:t>
      </w:r>
    </w:p>
    <w:p w:rsidR="00DD5554" w:rsidRDefault="00DD5554" w:rsidP="00490B85">
      <w:pPr>
        <w:jc w:val="both"/>
        <w:rPr>
          <w:rFonts w:ascii="Verdana" w:eastAsia="Batang" w:hAnsi="Verdana"/>
          <w:b/>
          <w:sz w:val="20"/>
          <w:lang w:val="el-GR" w:eastAsia="el-GR"/>
        </w:rPr>
      </w:pPr>
    </w:p>
    <w:p w:rsidR="00490B85" w:rsidRPr="000E41C0" w:rsidRDefault="00490B85" w:rsidP="00490B85">
      <w:pPr>
        <w:jc w:val="both"/>
        <w:rPr>
          <w:rFonts w:ascii="Verdana" w:eastAsia="Batang" w:hAnsi="Verdana"/>
          <w:b/>
          <w:sz w:val="20"/>
          <w:lang w:val="el-GR" w:eastAsia="el-GR"/>
        </w:rPr>
      </w:pPr>
      <w:r w:rsidRPr="000E41C0">
        <w:rPr>
          <w:rFonts w:ascii="Verdana" w:eastAsia="Batang" w:hAnsi="Verdana"/>
          <w:b/>
          <w:sz w:val="20"/>
          <w:lang w:val="el-GR" w:eastAsia="el-GR"/>
        </w:rPr>
        <w:t>Επικοινωνία για δημοσιογράφους</w:t>
      </w:r>
    </w:p>
    <w:p w:rsidR="00490B85" w:rsidRPr="000E41C0" w:rsidRDefault="00490B85" w:rsidP="00490B85">
      <w:pPr>
        <w:jc w:val="both"/>
        <w:rPr>
          <w:rFonts w:ascii="Verdana" w:eastAsia="Batang" w:hAnsi="Verdana"/>
          <w:sz w:val="20"/>
          <w:lang w:val="el-GR" w:eastAsia="el-GR"/>
        </w:rPr>
      </w:pPr>
      <w:r w:rsidRPr="000E41C0">
        <w:rPr>
          <w:rFonts w:ascii="Verdana" w:eastAsia="Batang" w:hAnsi="Verdana"/>
          <w:sz w:val="20"/>
          <w:lang w:val="el-GR" w:eastAsia="el-GR"/>
        </w:rPr>
        <w:t xml:space="preserve">Εθνικό Κέντρο Τεκμηρίωσης </w:t>
      </w:r>
    </w:p>
    <w:p w:rsidR="00490B85" w:rsidRPr="000E41C0" w:rsidRDefault="00490B85" w:rsidP="00490B85">
      <w:pPr>
        <w:jc w:val="both"/>
        <w:rPr>
          <w:rFonts w:ascii="Verdana" w:eastAsia="Batang" w:hAnsi="Verdana"/>
          <w:sz w:val="20"/>
          <w:lang w:val="el-GR" w:eastAsia="el-GR"/>
        </w:rPr>
      </w:pPr>
      <w:r w:rsidRPr="000E41C0">
        <w:rPr>
          <w:rFonts w:ascii="Verdana" w:eastAsia="Batang" w:hAnsi="Verdana"/>
          <w:sz w:val="20"/>
          <w:lang w:val="el-GR" w:eastAsia="el-GR"/>
        </w:rPr>
        <w:t xml:space="preserve">Μαργαρίτης Προέδρου, </w:t>
      </w:r>
      <w:proofErr w:type="spellStart"/>
      <w:r w:rsidRPr="000E41C0">
        <w:rPr>
          <w:rFonts w:ascii="Verdana" w:eastAsia="Batang" w:hAnsi="Verdana"/>
          <w:sz w:val="20"/>
          <w:lang w:val="el-GR" w:eastAsia="el-GR"/>
        </w:rPr>
        <w:t>τηλ</w:t>
      </w:r>
      <w:proofErr w:type="spellEnd"/>
      <w:r w:rsidRPr="000E41C0">
        <w:rPr>
          <w:rFonts w:ascii="Verdana" w:eastAsia="Batang" w:hAnsi="Verdana"/>
          <w:sz w:val="20"/>
          <w:lang w:val="el-GR" w:eastAsia="el-GR"/>
        </w:rPr>
        <w:t xml:space="preserve">.: 210 7273966, </w:t>
      </w:r>
      <w:r w:rsidRPr="000E41C0">
        <w:rPr>
          <w:rFonts w:ascii="Verdana" w:eastAsia="Batang" w:hAnsi="Verdana"/>
          <w:sz w:val="20"/>
          <w:lang w:val="en-US" w:eastAsia="el-GR"/>
        </w:rPr>
        <w:t>e</w:t>
      </w:r>
      <w:r w:rsidRPr="000E41C0">
        <w:rPr>
          <w:rFonts w:ascii="Verdana" w:eastAsia="Batang" w:hAnsi="Verdana"/>
          <w:sz w:val="20"/>
          <w:lang w:val="el-GR" w:eastAsia="el-GR"/>
        </w:rPr>
        <w:t>-</w:t>
      </w:r>
      <w:r w:rsidRPr="000E41C0">
        <w:rPr>
          <w:rFonts w:ascii="Verdana" w:eastAsia="Batang" w:hAnsi="Verdana"/>
          <w:sz w:val="20"/>
          <w:lang w:val="en-US" w:eastAsia="el-GR"/>
        </w:rPr>
        <w:t>mail</w:t>
      </w:r>
      <w:r w:rsidRPr="000E41C0">
        <w:rPr>
          <w:rFonts w:ascii="Verdana" w:eastAsia="Batang" w:hAnsi="Verdana"/>
          <w:sz w:val="20"/>
          <w:lang w:val="el-GR" w:eastAsia="el-GR"/>
        </w:rPr>
        <w:t xml:space="preserve">: </w:t>
      </w:r>
      <w:r w:rsidRPr="000E41C0">
        <w:rPr>
          <w:rFonts w:ascii="Verdana" w:eastAsia="Batang" w:hAnsi="Verdana"/>
          <w:sz w:val="20"/>
          <w:lang w:val="en-US" w:eastAsia="el-GR"/>
        </w:rPr>
        <w:t>mproed</w:t>
      </w:r>
      <w:r w:rsidRPr="000E41C0">
        <w:rPr>
          <w:rFonts w:ascii="Verdana" w:eastAsia="Batang" w:hAnsi="Verdana"/>
          <w:sz w:val="20"/>
          <w:lang w:val="el-GR" w:eastAsia="el-GR"/>
        </w:rPr>
        <w:t>@</w:t>
      </w:r>
      <w:proofErr w:type="spellStart"/>
      <w:r w:rsidRPr="000E41C0">
        <w:rPr>
          <w:rFonts w:ascii="Verdana" w:eastAsia="Batang" w:hAnsi="Verdana"/>
          <w:sz w:val="20"/>
          <w:lang w:val="en-US" w:eastAsia="el-GR"/>
        </w:rPr>
        <w:t>ekt</w:t>
      </w:r>
      <w:proofErr w:type="spellEnd"/>
      <w:r w:rsidRPr="000E41C0">
        <w:rPr>
          <w:rFonts w:ascii="Verdana" w:eastAsia="Batang" w:hAnsi="Verdana"/>
          <w:sz w:val="20"/>
          <w:lang w:val="el-GR" w:eastAsia="el-GR"/>
        </w:rPr>
        <w:t>.</w:t>
      </w:r>
      <w:r w:rsidRPr="000E41C0">
        <w:rPr>
          <w:rFonts w:ascii="Verdana" w:eastAsia="Batang" w:hAnsi="Verdana"/>
          <w:sz w:val="20"/>
          <w:lang w:val="en-US" w:eastAsia="el-GR"/>
        </w:rPr>
        <w:t>gr</w:t>
      </w:r>
      <w:r w:rsidRPr="000E41C0">
        <w:rPr>
          <w:rFonts w:ascii="Verdana" w:eastAsia="Batang" w:hAnsi="Verdana"/>
          <w:sz w:val="20"/>
          <w:lang w:val="el-GR" w:eastAsia="el-GR"/>
        </w:rPr>
        <w:t xml:space="preserve"> </w:t>
      </w:r>
    </w:p>
    <w:p w:rsidR="00490B85" w:rsidRPr="00313CD0" w:rsidRDefault="00381FD9" w:rsidP="00490B85">
      <w:pPr>
        <w:jc w:val="both"/>
        <w:rPr>
          <w:rFonts w:ascii="Verdana" w:eastAsia="Batang" w:hAnsi="Verdana"/>
          <w:sz w:val="22"/>
          <w:lang w:val="el-GR" w:eastAsia="el-GR"/>
        </w:rPr>
      </w:pPr>
      <w:hyperlink r:id="rId14" w:history="1">
        <w:r w:rsidR="00490B85" w:rsidRPr="00313CD0">
          <w:rPr>
            <w:rFonts w:ascii="Verdana" w:eastAsia="Batang" w:hAnsi="Verdana"/>
            <w:color w:val="0000FF"/>
            <w:sz w:val="22"/>
            <w:u w:val="single"/>
            <w:lang w:val="en-US" w:eastAsia="el-GR"/>
          </w:rPr>
          <w:t>http</w:t>
        </w:r>
        <w:r w:rsidR="00490B85" w:rsidRPr="00313CD0">
          <w:rPr>
            <w:rFonts w:ascii="Verdana" w:eastAsia="Batang" w:hAnsi="Verdana"/>
            <w:color w:val="0000FF"/>
            <w:sz w:val="22"/>
            <w:u w:val="single"/>
            <w:lang w:val="el-GR" w:eastAsia="el-GR"/>
          </w:rPr>
          <w:t>://</w:t>
        </w:r>
        <w:r w:rsidR="00490B85" w:rsidRPr="00313CD0">
          <w:rPr>
            <w:rFonts w:ascii="Verdana" w:eastAsia="Batang" w:hAnsi="Verdana"/>
            <w:color w:val="0000FF"/>
            <w:sz w:val="22"/>
            <w:u w:val="single"/>
            <w:lang w:val="en-US" w:eastAsia="el-GR"/>
          </w:rPr>
          <w:t>www</w:t>
        </w:r>
        <w:r w:rsidR="00490B85" w:rsidRPr="00313CD0">
          <w:rPr>
            <w:rFonts w:ascii="Verdana" w:eastAsia="Batang" w:hAnsi="Verdana"/>
            <w:color w:val="0000FF"/>
            <w:sz w:val="22"/>
            <w:u w:val="single"/>
            <w:lang w:val="el-GR" w:eastAsia="el-GR"/>
          </w:rPr>
          <w:t>.</w:t>
        </w:r>
        <w:proofErr w:type="spellStart"/>
        <w:r w:rsidR="00490B85" w:rsidRPr="00313CD0">
          <w:rPr>
            <w:rFonts w:ascii="Verdana" w:eastAsia="Batang" w:hAnsi="Verdana"/>
            <w:color w:val="0000FF"/>
            <w:sz w:val="22"/>
            <w:u w:val="single"/>
            <w:lang w:val="en-US" w:eastAsia="el-GR"/>
          </w:rPr>
          <w:t>ekt</w:t>
        </w:r>
        <w:proofErr w:type="spellEnd"/>
        <w:r w:rsidR="00490B85" w:rsidRPr="00313CD0">
          <w:rPr>
            <w:rFonts w:ascii="Verdana" w:eastAsia="Batang" w:hAnsi="Verdana"/>
            <w:color w:val="0000FF"/>
            <w:sz w:val="22"/>
            <w:u w:val="single"/>
            <w:lang w:val="el-GR" w:eastAsia="el-GR"/>
          </w:rPr>
          <w:t>.</w:t>
        </w:r>
        <w:r w:rsidR="00490B85" w:rsidRPr="00313CD0">
          <w:rPr>
            <w:rFonts w:ascii="Verdana" w:eastAsia="Batang" w:hAnsi="Verdana"/>
            <w:color w:val="0000FF"/>
            <w:sz w:val="22"/>
            <w:u w:val="single"/>
            <w:lang w:val="en-US" w:eastAsia="el-GR"/>
          </w:rPr>
          <w:t>gr</w:t>
        </w:r>
      </w:hyperlink>
      <w:r w:rsidR="00490B85" w:rsidRPr="00313CD0">
        <w:rPr>
          <w:rFonts w:ascii="Verdana" w:eastAsia="Batang" w:hAnsi="Verdana"/>
          <w:sz w:val="22"/>
          <w:lang w:val="el-GR" w:eastAsia="el-GR"/>
        </w:rPr>
        <w:t xml:space="preserve">  </w:t>
      </w:r>
    </w:p>
    <w:p w:rsidR="00BB28CB" w:rsidRDefault="00BB28CB" w:rsidP="0078059E">
      <w:pPr>
        <w:jc w:val="both"/>
        <w:rPr>
          <w:rFonts w:ascii="Verdana" w:hAnsi="Verdana"/>
          <w:b/>
          <w:i/>
          <w:sz w:val="18"/>
          <w:szCs w:val="18"/>
          <w:lang w:val="el-GR" w:eastAsia="el-GR"/>
        </w:rPr>
      </w:pPr>
    </w:p>
    <w:p w:rsidR="00D95EB6" w:rsidRDefault="00D95EB6" w:rsidP="0078059E">
      <w:pPr>
        <w:jc w:val="both"/>
        <w:rPr>
          <w:rFonts w:ascii="Verdana" w:hAnsi="Verdana"/>
          <w:b/>
          <w:i/>
          <w:sz w:val="18"/>
          <w:szCs w:val="18"/>
          <w:lang w:val="el-GR" w:eastAsia="el-GR"/>
        </w:rPr>
      </w:pPr>
    </w:p>
    <w:p w:rsidR="0078059E" w:rsidRPr="0078059E" w:rsidRDefault="0078059E" w:rsidP="0078059E">
      <w:pPr>
        <w:jc w:val="both"/>
        <w:rPr>
          <w:rFonts w:ascii="Verdana" w:hAnsi="Verdana"/>
          <w:b/>
          <w:i/>
          <w:sz w:val="18"/>
          <w:szCs w:val="18"/>
          <w:lang w:val="el-GR" w:eastAsia="el-GR"/>
        </w:rPr>
      </w:pPr>
      <w:r w:rsidRPr="0078059E">
        <w:rPr>
          <w:rFonts w:ascii="Verdana" w:hAnsi="Verdana"/>
          <w:b/>
          <w:i/>
          <w:sz w:val="18"/>
          <w:szCs w:val="18"/>
          <w:lang w:val="el-GR" w:eastAsia="el-GR"/>
        </w:rPr>
        <w:t>Σχετικά με το Εθνικό Κέντρο Τεκμηρίωσης</w:t>
      </w:r>
    </w:p>
    <w:p w:rsidR="0078059E" w:rsidRPr="0078059E" w:rsidRDefault="0078059E" w:rsidP="0078059E">
      <w:pPr>
        <w:jc w:val="both"/>
        <w:rPr>
          <w:rFonts w:ascii="Verdana" w:hAnsi="Verdana"/>
          <w:i/>
          <w:sz w:val="14"/>
          <w:szCs w:val="18"/>
          <w:lang w:val="el-GR" w:eastAsia="el-GR"/>
        </w:rPr>
      </w:pPr>
    </w:p>
    <w:p w:rsidR="0078059E" w:rsidRPr="0078059E" w:rsidRDefault="0078059E" w:rsidP="0078059E">
      <w:pPr>
        <w:jc w:val="both"/>
        <w:rPr>
          <w:rFonts w:ascii="Verdana" w:hAnsi="Verdana"/>
          <w:i/>
          <w:sz w:val="18"/>
          <w:szCs w:val="18"/>
          <w:lang w:val="el-GR" w:eastAsia="el-GR"/>
        </w:rPr>
      </w:pPr>
      <w:proofErr w:type="spellStart"/>
      <w:r w:rsidRPr="0078059E">
        <w:rPr>
          <w:rFonts w:ascii="Verdana" w:hAnsi="Verdana"/>
          <w:i/>
          <w:iCs/>
          <w:sz w:val="18"/>
          <w:szCs w:val="18"/>
          <w:lang w:val="el-GR" w:eastAsia="el-GR"/>
        </w:rPr>
        <w:t>Tο</w:t>
      </w:r>
      <w:proofErr w:type="spellEnd"/>
      <w:r w:rsidRPr="0078059E">
        <w:rPr>
          <w:rFonts w:ascii="Verdana" w:hAnsi="Verdana"/>
          <w:i/>
          <w:iCs/>
          <w:sz w:val="18"/>
          <w:szCs w:val="18"/>
          <w:lang w:val="el-GR" w:eastAsia="el-GR"/>
        </w:rPr>
        <w:t xml:space="preserve"> Εθνικό Κέντρο Τεκμηρίωσης (</w:t>
      </w:r>
      <w:hyperlink r:id="rId15" w:history="1">
        <w:r w:rsidRPr="0078059E">
          <w:rPr>
            <w:rFonts w:ascii="Verdana" w:hAnsi="Verdana"/>
            <w:i/>
            <w:iCs/>
            <w:color w:val="0000FF"/>
            <w:sz w:val="18"/>
            <w:szCs w:val="18"/>
            <w:u w:val="single"/>
            <w:lang w:val="el-GR" w:eastAsia="el-GR"/>
          </w:rPr>
          <w:t>www.ekt.gr</w:t>
        </w:r>
      </w:hyperlink>
      <w:r w:rsidRPr="0078059E">
        <w:rPr>
          <w:rFonts w:ascii="Verdana" w:hAnsi="Verdana"/>
          <w:i/>
          <w:iCs/>
          <w:sz w:val="18"/>
          <w:szCs w:val="18"/>
          <w:lang w:val="el-GR" w:eastAsia="el-GR"/>
        </w:rPr>
        <w:t xml:space="preserve">) λειτουργεί ως εθνική υποδομή στο Εθνικό Ίδρυμα Ερευνών. Αποστολή του ΕΚΤ είναι: </w:t>
      </w:r>
    </w:p>
    <w:p w:rsidR="0078059E" w:rsidRPr="0078059E" w:rsidRDefault="0078059E" w:rsidP="0078059E">
      <w:pPr>
        <w:numPr>
          <w:ilvl w:val="0"/>
          <w:numId w:val="41"/>
        </w:numPr>
        <w:jc w:val="both"/>
        <w:rPr>
          <w:rFonts w:ascii="Verdana" w:hAnsi="Verdana"/>
          <w:i/>
          <w:sz w:val="18"/>
          <w:szCs w:val="18"/>
          <w:lang w:val="el-GR" w:eastAsia="el-GR"/>
        </w:rPr>
      </w:pPr>
      <w:r w:rsidRPr="0078059E">
        <w:rPr>
          <w:rFonts w:ascii="Verdana" w:hAnsi="Verdana"/>
          <w:i/>
          <w:iCs/>
          <w:sz w:val="18"/>
          <w:szCs w:val="18"/>
          <w:lang w:val="el-GR" w:eastAsia="el-GR"/>
        </w:rPr>
        <w:t>η συλλογή, τεκμηρίωση, διάχυση και μακροχρόνια διατήρηση του έγκριτου ψηφιακού περιεχομένου και δεδομένων που παράγονται από την ελληνική επιστημονική, ερευνητική και πολιτιστική κοινότητα, </w:t>
      </w:r>
    </w:p>
    <w:p w:rsidR="0078059E" w:rsidRPr="0078059E" w:rsidRDefault="0078059E" w:rsidP="0078059E">
      <w:pPr>
        <w:numPr>
          <w:ilvl w:val="0"/>
          <w:numId w:val="41"/>
        </w:numPr>
        <w:jc w:val="both"/>
        <w:rPr>
          <w:rFonts w:ascii="Verdana" w:hAnsi="Verdana"/>
          <w:i/>
          <w:sz w:val="18"/>
          <w:szCs w:val="18"/>
          <w:lang w:val="el-GR" w:eastAsia="el-GR"/>
        </w:rPr>
      </w:pPr>
      <w:r w:rsidRPr="0078059E">
        <w:rPr>
          <w:rFonts w:ascii="Verdana" w:hAnsi="Verdana"/>
          <w:i/>
          <w:iCs/>
          <w:sz w:val="18"/>
          <w:szCs w:val="18"/>
          <w:lang w:val="el-GR" w:eastAsia="el-GR"/>
        </w:rPr>
        <w:t xml:space="preserve">η μέτρηση των εκροών και του αποτελέσματος του συστήματος Έρευνας, Τεχνολογίας, Ανάπτυξης, Καινοτομίας (ΕΤΑΚ) και η σύγκρισή του σε ευρωπαϊκό &amp; διεθνές επίπεδο, </w:t>
      </w:r>
    </w:p>
    <w:p w:rsidR="0078059E" w:rsidRPr="0078059E" w:rsidRDefault="0078059E" w:rsidP="0078059E">
      <w:pPr>
        <w:numPr>
          <w:ilvl w:val="0"/>
          <w:numId w:val="41"/>
        </w:numPr>
        <w:jc w:val="both"/>
        <w:rPr>
          <w:rFonts w:ascii="Verdana" w:hAnsi="Verdana"/>
          <w:i/>
          <w:sz w:val="18"/>
          <w:szCs w:val="18"/>
          <w:lang w:val="el-GR" w:eastAsia="el-GR"/>
        </w:rPr>
      </w:pPr>
      <w:r w:rsidRPr="0078059E">
        <w:rPr>
          <w:rFonts w:ascii="Verdana" w:hAnsi="Verdana"/>
          <w:i/>
          <w:iCs/>
          <w:sz w:val="18"/>
          <w:szCs w:val="18"/>
          <w:lang w:val="el-GR" w:eastAsia="el-GR"/>
        </w:rPr>
        <w:t xml:space="preserve">η ενίσχυση του ευρύτερου εθνικού στόχου της αξιοποίησης των αποτελεσμάτων της έρευνας και της ενίσχυσης της καινοτομίας, </w:t>
      </w:r>
    </w:p>
    <w:p w:rsidR="0078059E" w:rsidRPr="0078059E" w:rsidRDefault="0078059E" w:rsidP="0078059E">
      <w:pPr>
        <w:numPr>
          <w:ilvl w:val="0"/>
          <w:numId w:val="41"/>
        </w:numPr>
        <w:jc w:val="both"/>
        <w:rPr>
          <w:rFonts w:ascii="Verdana" w:hAnsi="Verdana"/>
          <w:i/>
          <w:sz w:val="18"/>
          <w:szCs w:val="18"/>
          <w:lang w:val="el-GR" w:eastAsia="el-GR"/>
        </w:rPr>
      </w:pPr>
      <w:r w:rsidRPr="0078059E">
        <w:rPr>
          <w:rFonts w:ascii="Verdana" w:hAnsi="Verdana"/>
          <w:i/>
          <w:iCs/>
          <w:sz w:val="18"/>
          <w:szCs w:val="18"/>
          <w:lang w:val="el-GR" w:eastAsia="el-GR"/>
        </w:rPr>
        <w:t>η αδιάλειπτη λειτουργία της εθνικής εμβέλειας ηλεκτρονικής υποδομής, η οποία εξασφαλίζει φιλική πρόσβαση σε επαναχρησιμοποιήσιμη έγκριτη πληροφορία, διασφαλίζει τη συγκέντρωση και διάθεση στοιχείων και την παραγωγή των δεικτών για τις στατιστικές ΕΤΑΚ στην Ελλάδα, ενώ προσφέρει πλήθος υπηρεσιών για την ερευνητική, ακαδημαϊκή, εκπαιδευτική και επιχειρηματική κοινότητα.</w:t>
      </w:r>
    </w:p>
    <w:p w:rsidR="00490B85" w:rsidRDefault="00490B85" w:rsidP="00490B85">
      <w:pPr>
        <w:jc w:val="both"/>
        <w:rPr>
          <w:rFonts w:ascii="Verdana" w:eastAsia="Batang" w:hAnsi="Verdana"/>
          <w:i/>
          <w:sz w:val="18"/>
          <w:szCs w:val="18"/>
          <w:lang w:val="el-GR" w:eastAsia="el-GR"/>
        </w:rPr>
      </w:pPr>
    </w:p>
    <w:p w:rsidR="00BB28CB" w:rsidRDefault="00BB28CB" w:rsidP="00BB28CB">
      <w:pPr>
        <w:jc w:val="both"/>
        <w:rPr>
          <w:rFonts w:ascii="Verdana" w:hAnsi="Verdana"/>
          <w:sz w:val="20"/>
          <w:lang w:val="el-GR" w:eastAsia="el-GR"/>
        </w:rPr>
      </w:pPr>
    </w:p>
    <w:p w:rsidR="006C6986" w:rsidRDefault="006C6986" w:rsidP="00BB28CB">
      <w:pPr>
        <w:jc w:val="both"/>
        <w:rPr>
          <w:rFonts w:ascii="Verdana" w:hAnsi="Verdana"/>
          <w:sz w:val="20"/>
          <w:lang w:val="el-GR" w:eastAsia="el-GR"/>
        </w:rPr>
      </w:pPr>
    </w:p>
    <w:p w:rsidR="00BB28CB" w:rsidRPr="00BB28CB" w:rsidRDefault="00BB28CB" w:rsidP="00BB28CB">
      <w:pPr>
        <w:jc w:val="both"/>
        <w:rPr>
          <w:rFonts w:ascii="Verdana" w:hAnsi="Verdana"/>
          <w:i/>
          <w:sz w:val="18"/>
          <w:lang w:val="el-GR" w:eastAsia="el-GR"/>
        </w:rPr>
      </w:pPr>
      <w:r w:rsidRPr="00BB28CB">
        <w:rPr>
          <w:rFonts w:ascii="Verdana" w:hAnsi="Verdana"/>
          <w:i/>
          <w:sz w:val="18"/>
          <w:lang w:val="el-GR" w:eastAsia="el-GR"/>
        </w:rPr>
        <w:t xml:space="preserve">Η έρευνα για την καταγραφή των δαπανών Ε&amp;Α </w:t>
      </w:r>
      <w:r w:rsidR="0034630C">
        <w:rPr>
          <w:rFonts w:ascii="Verdana" w:hAnsi="Verdana"/>
          <w:i/>
          <w:sz w:val="18"/>
          <w:lang w:val="el-GR" w:eastAsia="el-GR"/>
        </w:rPr>
        <w:t xml:space="preserve">για το 2017 </w:t>
      </w:r>
      <w:r w:rsidRPr="00BB28CB">
        <w:rPr>
          <w:rFonts w:ascii="Verdana" w:hAnsi="Verdana"/>
          <w:i/>
          <w:sz w:val="18"/>
          <w:lang w:val="el-GR" w:eastAsia="el-GR"/>
        </w:rPr>
        <w:t xml:space="preserve">πραγματοποιείται στο πλαίσιο του </w:t>
      </w:r>
      <w:proofErr w:type="spellStart"/>
      <w:r w:rsidRPr="00BB28CB">
        <w:rPr>
          <w:rFonts w:ascii="Verdana" w:hAnsi="Verdana"/>
          <w:i/>
          <w:sz w:val="18"/>
          <w:lang w:val="el-GR" w:eastAsia="el-GR"/>
        </w:rPr>
        <w:t>Υποέργου</w:t>
      </w:r>
      <w:proofErr w:type="spellEnd"/>
      <w:r w:rsidRPr="00BB28CB">
        <w:rPr>
          <w:rFonts w:ascii="Verdana" w:hAnsi="Verdana"/>
          <w:i/>
          <w:sz w:val="18"/>
          <w:lang w:val="el-GR" w:eastAsia="el-GR"/>
        </w:rPr>
        <w:t xml:space="preserve"> 5 «Παραγωγή δεικτών RIS3 για τα έτη 2016-2023» της Πράξης «Εγκατάσταση Μηχανισμού Παρακολούθησης (</w:t>
      </w:r>
      <w:r w:rsidR="006C6986">
        <w:rPr>
          <w:rFonts w:ascii="Verdana" w:hAnsi="Verdana"/>
          <w:i/>
          <w:sz w:val="18"/>
          <w:lang w:val="en-US" w:eastAsia="el-GR"/>
        </w:rPr>
        <w:t>M</w:t>
      </w:r>
      <w:proofErr w:type="spellStart"/>
      <w:r w:rsidR="006C6986">
        <w:rPr>
          <w:rFonts w:ascii="Verdana" w:hAnsi="Verdana"/>
          <w:i/>
          <w:sz w:val="18"/>
          <w:lang w:val="el-GR" w:eastAsia="el-GR"/>
        </w:rPr>
        <w:t>onitoring</w:t>
      </w:r>
      <w:proofErr w:type="spellEnd"/>
      <w:r w:rsidR="006C6986">
        <w:rPr>
          <w:rFonts w:ascii="Verdana" w:hAnsi="Verdana"/>
          <w:i/>
          <w:sz w:val="18"/>
          <w:lang w:val="el-GR" w:eastAsia="el-GR"/>
        </w:rPr>
        <w:t xml:space="preserve"> </w:t>
      </w:r>
      <w:proofErr w:type="spellStart"/>
      <w:r w:rsidR="006C6986">
        <w:rPr>
          <w:rFonts w:ascii="Verdana" w:hAnsi="Verdana"/>
          <w:i/>
          <w:sz w:val="18"/>
          <w:lang w:val="el-GR" w:eastAsia="el-GR"/>
        </w:rPr>
        <w:t>Mechanism</w:t>
      </w:r>
      <w:proofErr w:type="spellEnd"/>
      <w:r w:rsidRPr="00BB28CB">
        <w:rPr>
          <w:rFonts w:ascii="Verdana" w:hAnsi="Verdana"/>
          <w:i/>
          <w:sz w:val="18"/>
          <w:lang w:val="el-GR" w:eastAsia="el-GR"/>
        </w:rPr>
        <w:t>) της υλοποίησης της εθνικής στρατηγικής RIS3-Συλλογή και επεξεργασία Δεικτών», που υλοποιείται από το Εθνικό Κέντρο Τεκμηρίωσης, στο πλαίσιο του Επιχειρησιακού Προγράμματος "Ανταγωνιστικότητα, Επιχειρηματικότητα &amp; Καινοτομία (ΕΣΠΑ 2014-2020)", με τη συγχρηματοδότηση της Ελλάδας και της Ευρωπαϊκής Ένωσης-Ευρωπαϊκό Ταμείο Περιφερειακής Ανάπτυξης.</w:t>
      </w:r>
    </w:p>
    <w:p w:rsidR="00BB28CB" w:rsidRDefault="00BB28CB" w:rsidP="00490B85">
      <w:pPr>
        <w:jc w:val="both"/>
        <w:rPr>
          <w:rFonts w:ascii="Verdana" w:eastAsia="Batang" w:hAnsi="Verdana"/>
          <w:i/>
          <w:sz w:val="18"/>
          <w:szCs w:val="18"/>
          <w:lang w:val="el-GR" w:eastAsia="el-GR"/>
        </w:rPr>
      </w:pPr>
    </w:p>
    <w:p w:rsidR="00C850BA" w:rsidRDefault="00C850BA" w:rsidP="009A535F">
      <w:pPr>
        <w:jc w:val="both"/>
        <w:rPr>
          <w:rFonts w:ascii="Verdana" w:hAnsi="Verdana"/>
          <w:b/>
          <w:szCs w:val="24"/>
          <w:lang w:val="el-GR"/>
        </w:rPr>
      </w:pPr>
      <w:r>
        <w:rPr>
          <w:rFonts w:ascii="Verdana" w:eastAsia="Batang" w:hAnsi="Verdana"/>
          <w:noProof/>
          <w:sz w:val="18"/>
          <w:szCs w:val="18"/>
          <w:lang w:val="el-GR" w:eastAsia="el-GR"/>
        </w:rPr>
        <w:drawing>
          <wp:inline distT="0" distB="0" distL="0" distR="0">
            <wp:extent cx="4629150" cy="1200150"/>
            <wp:effectExtent l="0" t="0" r="0" b="0"/>
            <wp:docPr id="3" name="Εικόνα 3" descr="EPANEK_ESPA2020_syghrimatodotisi_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NEK_ESPA2020_syghrimatodotisi_GR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29150" cy="1200150"/>
                    </a:xfrm>
                    <a:prstGeom prst="rect">
                      <a:avLst/>
                    </a:prstGeom>
                    <a:noFill/>
                    <a:ln>
                      <a:noFill/>
                    </a:ln>
                  </pic:spPr>
                </pic:pic>
              </a:graphicData>
            </a:graphic>
          </wp:inline>
        </w:drawing>
      </w:r>
    </w:p>
    <w:p w:rsidR="00C850BA" w:rsidRDefault="00C850BA" w:rsidP="009A535F">
      <w:pPr>
        <w:jc w:val="both"/>
        <w:rPr>
          <w:rFonts w:ascii="Verdana" w:hAnsi="Verdana"/>
          <w:b/>
          <w:szCs w:val="24"/>
          <w:lang w:val="el-GR"/>
        </w:rPr>
      </w:pPr>
    </w:p>
    <w:p w:rsidR="00C850BA" w:rsidRDefault="00C850BA">
      <w:pPr>
        <w:rPr>
          <w:rFonts w:ascii="Verdana" w:hAnsi="Verdana"/>
          <w:b/>
          <w:szCs w:val="24"/>
          <w:lang w:val="el-GR"/>
        </w:rPr>
      </w:pPr>
      <w:r>
        <w:rPr>
          <w:rFonts w:ascii="Verdana" w:hAnsi="Verdana"/>
          <w:b/>
          <w:szCs w:val="24"/>
          <w:lang w:val="el-GR"/>
        </w:rPr>
        <w:br w:type="page"/>
      </w:r>
    </w:p>
    <w:p w:rsidR="00B75314" w:rsidRPr="00B75314" w:rsidRDefault="009A535F" w:rsidP="009A535F">
      <w:pPr>
        <w:jc w:val="both"/>
        <w:rPr>
          <w:rFonts w:ascii="Verdana" w:hAnsi="Verdana"/>
          <w:b/>
          <w:szCs w:val="24"/>
          <w:lang w:val="el-GR"/>
        </w:rPr>
      </w:pPr>
      <w:r w:rsidRPr="00B75314">
        <w:rPr>
          <w:rFonts w:ascii="Verdana" w:hAnsi="Verdana"/>
          <w:b/>
          <w:szCs w:val="24"/>
          <w:lang w:val="el-GR"/>
        </w:rPr>
        <w:lastRenderedPageBreak/>
        <w:t>Διαγράμματα</w:t>
      </w:r>
      <w:r w:rsidR="00B75314" w:rsidRPr="00B75314">
        <w:rPr>
          <w:rFonts w:ascii="Verdana" w:hAnsi="Verdana"/>
          <w:b/>
          <w:szCs w:val="24"/>
          <w:lang w:val="el-GR"/>
        </w:rPr>
        <w:t>-Πίνακες</w:t>
      </w:r>
      <w:r w:rsidRPr="00B75314">
        <w:rPr>
          <w:rFonts w:ascii="Verdana" w:hAnsi="Verdana"/>
          <w:b/>
          <w:szCs w:val="24"/>
          <w:lang w:val="el-GR"/>
        </w:rPr>
        <w:t xml:space="preserve"> για </w:t>
      </w:r>
      <w:r w:rsidR="00E73368" w:rsidRPr="00B75314">
        <w:rPr>
          <w:rFonts w:ascii="Verdana" w:hAnsi="Verdana"/>
          <w:b/>
          <w:szCs w:val="24"/>
          <w:lang w:val="el-GR"/>
        </w:rPr>
        <w:t xml:space="preserve">δαπάνες </w:t>
      </w:r>
      <w:r w:rsidR="006A21EB" w:rsidRPr="00B75314">
        <w:rPr>
          <w:rFonts w:ascii="Verdana" w:hAnsi="Verdana"/>
          <w:b/>
          <w:szCs w:val="24"/>
          <w:lang w:val="el-GR"/>
        </w:rPr>
        <w:t>Έρευνα</w:t>
      </w:r>
      <w:r w:rsidR="00E73368" w:rsidRPr="00B75314">
        <w:rPr>
          <w:rFonts w:ascii="Verdana" w:hAnsi="Verdana"/>
          <w:b/>
          <w:szCs w:val="24"/>
          <w:lang w:val="el-GR"/>
        </w:rPr>
        <w:t>ς</w:t>
      </w:r>
      <w:r w:rsidR="006A21EB" w:rsidRPr="00B75314">
        <w:rPr>
          <w:rFonts w:ascii="Verdana" w:hAnsi="Verdana"/>
          <w:b/>
          <w:szCs w:val="24"/>
          <w:lang w:val="el-GR"/>
        </w:rPr>
        <w:t xml:space="preserve"> &amp; Ανάπτυξη</w:t>
      </w:r>
      <w:r w:rsidR="00E73368" w:rsidRPr="00B75314">
        <w:rPr>
          <w:rFonts w:ascii="Verdana" w:hAnsi="Verdana"/>
          <w:b/>
          <w:szCs w:val="24"/>
          <w:lang w:val="el-GR"/>
        </w:rPr>
        <w:t>ς</w:t>
      </w:r>
      <w:r w:rsidR="006A21EB" w:rsidRPr="00B75314">
        <w:rPr>
          <w:rFonts w:ascii="Verdana" w:hAnsi="Verdana"/>
          <w:b/>
          <w:szCs w:val="24"/>
          <w:lang w:val="el-GR"/>
        </w:rPr>
        <w:t xml:space="preserve"> </w:t>
      </w:r>
    </w:p>
    <w:p w:rsidR="00AD352E" w:rsidRDefault="006A21EB" w:rsidP="00AD352E">
      <w:pPr>
        <w:jc w:val="both"/>
        <w:rPr>
          <w:rFonts w:ascii="Verdana" w:hAnsi="Verdana"/>
          <w:b/>
          <w:szCs w:val="24"/>
          <w:lang w:val="el-GR"/>
        </w:rPr>
      </w:pPr>
      <w:r w:rsidRPr="00B75314">
        <w:rPr>
          <w:rFonts w:ascii="Verdana" w:hAnsi="Verdana"/>
          <w:b/>
          <w:szCs w:val="24"/>
          <w:lang w:val="el-GR"/>
        </w:rPr>
        <w:t>στην Ελλάδα το 201</w:t>
      </w:r>
      <w:r w:rsidR="0078059E">
        <w:rPr>
          <w:rFonts w:ascii="Verdana" w:hAnsi="Verdana"/>
          <w:b/>
          <w:szCs w:val="24"/>
          <w:lang w:val="el-GR"/>
        </w:rPr>
        <w:t>7</w:t>
      </w:r>
    </w:p>
    <w:p w:rsidR="00204737" w:rsidRDefault="00204737" w:rsidP="00AD352E">
      <w:pPr>
        <w:jc w:val="both"/>
        <w:rPr>
          <w:rFonts w:ascii="Verdana" w:hAnsi="Verdana"/>
          <w:b/>
          <w:szCs w:val="24"/>
          <w:lang w:val="el-GR"/>
        </w:rPr>
      </w:pPr>
    </w:p>
    <w:p w:rsidR="0062758E" w:rsidRPr="00F85E64" w:rsidRDefault="006D22BB" w:rsidP="0062758E">
      <w:pPr>
        <w:spacing w:after="160" w:line="259" w:lineRule="auto"/>
        <w:jc w:val="both"/>
        <w:rPr>
          <w:rFonts w:ascii="Verdana" w:eastAsiaTheme="minorHAnsi" w:hAnsi="Verdana" w:cs="Arial"/>
          <w:b/>
          <w:iCs/>
          <w:sz w:val="18"/>
          <w:lang w:val="el-GR"/>
        </w:rPr>
      </w:pPr>
      <w:r>
        <w:rPr>
          <w:rFonts w:ascii="Arial" w:eastAsiaTheme="minorHAnsi" w:hAnsi="Arial" w:cs="Arial"/>
          <w:noProof/>
          <w:sz w:val="22"/>
          <w:szCs w:val="22"/>
          <w:lang w:val="el-GR" w:eastAsia="el-GR"/>
        </w:rPr>
        <w:drawing>
          <wp:anchor distT="0" distB="0" distL="114300" distR="114300" simplePos="0" relativeHeight="251658240" behindDoc="0" locked="0" layoutInCell="1" allowOverlap="1" wp14:anchorId="650697D0" wp14:editId="579F5260">
            <wp:simplePos x="0" y="0"/>
            <wp:positionH relativeFrom="margin">
              <wp:posOffset>1905</wp:posOffset>
            </wp:positionH>
            <wp:positionV relativeFrom="paragraph">
              <wp:posOffset>304800</wp:posOffset>
            </wp:positionV>
            <wp:extent cx="5794375" cy="3105150"/>
            <wp:effectExtent l="0" t="0" r="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4375" cy="3105150"/>
                    </a:xfrm>
                    <a:prstGeom prst="rect">
                      <a:avLst/>
                    </a:prstGeom>
                    <a:noFill/>
                  </pic:spPr>
                </pic:pic>
              </a:graphicData>
            </a:graphic>
            <wp14:sizeRelH relativeFrom="page">
              <wp14:pctWidth>0</wp14:pctWidth>
            </wp14:sizeRelH>
            <wp14:sizeRelV relativeFrom="page">
              <wp14:pctHeight>0</wp14:pctHeight>
            </wp14:sizeRelV>
          </wp:anchor>
        </w:drawing>
      </w:r>
      <w:r w:rsidR="00F85E64">
        <w:rPr>
          <w:rFonts w:ascii="Verdana" w:eastAsiaTheme="minorHAnsi" w:hAnsi="Verdana" w:cs="Arial"/>
          <w:b/>
          <w:iCs/>
          <w:sz w:val="18"/>
          <w:lang w:val="el-GR"/>
        </w:rPr>
        <w:t>Δα</w:t>
      </w:r>
      <w:r w:rsidR="0062758E" w:rsidRPr="00F85E64">
        <w:rPr>
          <w:rFonts w:ascii="Verdana" w:eastAsiaTheme="minorHAnsi" w:hAnsi="Verdana" w:cs="Arial"/>
          <w:b/>
          <w:iCs/>
          <w:sz w:val="18"/>
          <w:lang w:val="el-GR"/>
        </w:rPr>
        <w:t>πάνες Ε&amp;Α και Ένταση Ε&amp;Α (Δαπάνες Ε&amp;Α ως % του ΑΕΠ), 2011 - 2017</w:t>
      </w:r>
    </w:p>
    <w:p w:rsidR="00F85E64" w:rsidRPr="00F85E64" w:rsidRDefault="00F85E64" w:rsidP="009344AF">
      <w:pPr>
        <w:spacing w:after="160" w:line="259" w:lineRule="auto"/>
        <w:ind w:right="-760"/>
        <w:rPr>
          <w:rFonts w:ascii="Verdana" w:eastAsiaTheme="minorHAnsi" w:hAnsi="Verdana" w:cs="Arial"/>
          <w:iCs/>
          <w:sz w:val="16"/>
          <w:szCs w:val="16"/>
          <w:lang w:val="el-GR"/>
        </w:rPr>
      </w:pPr>
      <w:r>
        <w:rPr>
          <w:rFonts w:ascii="Arial" w:eastAsiaTheme="minorHAnsi" w:hAnsi="Arial" w:cs="Arial"/>
          <w:iCs/>
          <w:sz w:val="16"/>
          <w:szCs w:val="16"/>
          <w:lang w:val="el-GR"/>
        </w:rPr>
        <w:br/>
      </w:r>
      <w:r w:rsidR="009344AF">
        <w:rPr>
          <w:rFonts w:ascii="Verdana" w:eastAsiaTheme="minorHAnsi" w:hAnsi="Verdana" w:cs="Arial"/>
          <w:iCs/>
          <w:sz w:val="16"/>
          <w:szCs w:val="16"/>
          <w:lang w:val="el-GR"/>
        </w:rPr>
        <w:t>Πηγή: Εθνικό Κέντρο Τεκμηρίωσης</w:t>
      </w:r>
      <w:r w:rsidRPr="00F85E64">
        <w:rPr>
          <w:rFonts w:ascii="Verdana" w:eastAsiaTheme="minorHAnsi" w:hAnsi="Verdana" w:cs="Arial"/>
          <w:iCs/>
          <w:sz w:val="16"/>
          <w:szCs w:val="16"/>
          <w:lang w:val="el-GR"/>
        </w:rPr>
        <w:t xml:space="preserve"> (http://metrics.ekt.gr/statistika-etak/datatables, κωδικός στοιχείων: Δ1, Δ2)</w:t>
      </w:r>
    </w:p>
    <w:p w:rsidR="006D22BB" w:rsidRDefault="006D22BB" w:rsidP="00AD352E">
      <w:pPr>
        <w:jc w:val="both"/>
        <w:rPr>
          <w:rFonts w:ascii="Arial" w:hAnsi="Arial" w:cs="Arial"/>
          <w:b/>
          <w:iCs/>
          <w:sz w:val="18"/>
          <w:lang w:val="el-GR"/>
        </w:rPr>
      </w:pPr>
    </w:p>
    <w:p w:rsidR="009344AF" w:rsidRDefault="009344AF" w:rsidP="00AD352E">
      <w:pPr>
        <w:jc w:val="both"/>
        <w:rPr>
          <w:rFonts w:ascii="Arial" w:hAnsi="Arial" w:cs="Arial"/>
          <w:b/>
          <w:iCs/>
          <w:sz w:val="18"/>
          <w:lang w:val="el-GR"/>
        </w:rPr>
      </w:pPr>
    </w:p>
    <w:p w:rsidR="009344AF" w:rsidRDefault="009344AF" w:rsidP="00AD352E">
      <w:pPr>
        <w:jc w:val="both"/>
        <w:rPr>
          <w:rFonts w:ascii="Arial" w:hAnsi="Arial" w:cs="Arial"/>
          <w:b/>
          <w:iCs/>
          <w:sz w:val="18"/>
          <w:lang w:val="el-GR"/>
        </w:rPr>
      </w:pPr>
    </w:p>
    <w:p w:rsidR="00F85E64" w:rsidRPr="00F85E64" w:rsidRDefault="00F85E64" w:rsidP="00702F79">
      <w:pPr>
        <w:spacing w:after="160" w:line="259" w:lineRule="auto"/>
        <w:ind w:hanging="426"/>
        <w:jc w:val="both"/>
        <w:rPr>
          <w:rFonts w:ascii="Verdana" w:eastAsiaTheme="minorHAnsi" w:hAnsi="Verdana" w:cs="Arial"/>
          <w:b/>
          <w:iCs/>
          <w:sz w:val="20"/>
          <w:lang w:val="el-GR"/>
        </w:rPr>
      </w:pPr>
      <w:r w:rsidRPr="00F85E64">
        <w:rPr>
          <w:rFonts w:ascii="Verdana" w:eastAsiaTheme="minorHAnsi" w:hAnsi="Verdana" w:cs="Arial"/>
          <w:b/>
          <w:iCs/>
          <w:sz w:val="20"/>
          <w:lang w:val="el-GR"/>
        </w:rPr>
        <w:t>Δαπάνες Ε&amp;Α ανά τομέα εκτέλεσης (σε εκατ. €), 2011 – 2017</w:t>
      </w:r>
    </w:p>
    <w:tbl>
      <w:tblPr>
        <w:tblW w:w="9314" w:type="dxa"/>
        <w:jc w:val="center"/>
        <w:tblLayout w:type="fixed"/>
        <w:tblLook w:val="04A0" w:firstRow="1" w:lastRow="0" w:firstColumn="1" w:lastColumn="0" w:noHBand="0" w:noVBand="1"/>
      </w:tblPr>
      <w:tblGrid>
        <w:gridCol w:w="1670"/>
        <w:gridCol w:w="1092"/>
        <w:gridCol w:w="1092"/>
        <w:gridCol w:w="1092"/>
        <w:gridCol w:w="1092"/>
        <w:gridCol w:w="1092"/>
        <w:gridCol w:w="1092"/>
        <w:gridCol w:w="1092"/>
      </w:tblGrid>
      <w:tr w:rsidR="00F85E64" w:rsidRPr="0062758E" w:rsidTr="00823754">
        <w:trPr>
          <w:trHeight w:val="1275"/>
          <w:jc w:val="center"/>
        </w:trPr>
        <w:tc>
          <w:tcPr>
            <w:tcW w:w="1670" w:type="dxa"/>
            <w:tcBorders>
              <w:top w:val="nil"/>
              <w:left w:val="nil"/>
              <w:bottom w:val="nil"/>
              <w:right w:val="nil"/>
            </w:tcBorders>
            <w:shd w:val="clear" w:color="000000" w:fill="28557D"/>
            <w:vAlign w:val="center"/>
            <w:hideMark/>
          </w:tcPr>
          <w:p w:rsidR="00F85E64" w:rsidRPr="0062758E" w:rsidRDefault="00F85E64" w:rsidP="00823754">
            <w:pPr>
              <w:rPr>
                <w:rFonts w:ascii="Arial" w:hAnsi="Arial" w:cs="Arial"/>
                <w:color w:val="FFFFFF"/>
                <w:sz w:val="20"/>
                <w:lang w:val="el-GR" w:eastAsia="el-GR"/>
              </w:rPr>
            </w:pPr>
            <w:r w:rsidRPr="0062758E">
              <w:rPr>
                <w:rFonts w:ascii="Arial" w:eastAsiaTheme="minorHAnsi" w:hAnsi="Arial" w:cs="Arial"/>
                <w:color w:val="FFFFFF" w:themeColor="background1"/>
                <w:sz w:val="20"/>
                <w:lang w:val="el-GR"/>
              </w:rPr>
              <w:t xml:space="preserve">Τομείς εκτέλεσης </w:t>
            </w:r>
            <w:r w:rsidRPr="0062758E">
              <w:rPr>
                <w:rFonts w:ascii="Arial" w:eastAsiaTheme="minorHAnsi" w:hAnsi="Arial" w:cs="Arial"/>
                <w:color w:val="FFFFFF" w:themeColor="background1"/>
                <w:sz w:val="20"/>
                <w:lang w:val="el-GR"/>
              </w:rPr>
              <w:br/>
              <w:t>Ε&amp;Α</w:t>
            </w:r>
          </w:p>
        </w:tc>
        <w:tc>
          <w:tcPr>
            <w:tcW w:w="1092" w:type="dxa"/>
            <w:tcBorders>
              <w:top w:val="nil"/>
              <w:left w:val="nil"/>
              <w:bottom w:val="nil"/>
              <w:right w:val="nil"/>
            </w:tcBorders>
            <w:shd w:val="clear" w:color="000000" w:fill="28557D"/>
            <w:vAlign w:val="center"/>
            <w:hideMark/>
          </w:tcPr>
          <w:p w:rsidR="00F85E64" w:rsidRPr="0062758E" w:rsidRDefault="00F85E64" w:rsidP="00823754">
            <w:pPr>
              <w:jc w:val="right"/>
              <w:rPr>
                <w:rFonts w:ascii="Arial" w:hAnsi="Arial" w:cs="Arial"/>
                <w:color w:val="FFFFFF"/>
                <w:sz w:val="20"/>
                <w:lang w:val="el-GR" w:eastAsia="el-GR"/>
              </w:rPr>
            </w:pPr>
            <w:r w:rsidRPr="0062758E">
              <w:rPr>
                <w:rFonts w:ascii="Arial" w:hAnsi="Arial" w:cs="Arial"/>
                <w:color w:val="FFFFFF"/>
                <w:sz w:val="20"/>
                <w:lang w:val="el-GR" w:eastAsia="el-GR"/>
              </w:rPr>
              <w:t>2011</w:t>
            </w:r>
          </w:p>
        </w:tc>
        <w:tc>
          <w:tcPr>
            <w:tcW w:w="1092" w:type="dxa"/>
            <w:tcBorders>
              <w:top w:val="nil"/>
              <w:left w:val="nil"/>
              <w:bottom w:val="nil"/>
              <w:right w:val="nil"/>
            </w:tcBorders>
            <w:shd w:val="clear" w:color="000000" w:fill="28557D"/>
            <w:vAlign w:val="center"/>
            <w:hideMark/>
          </w:tcPr>
          <w:p w:rsidR="00F85E64" w:rsidRPr="0062758E" w:rsidRDefault="00F85E64" w:rsidP="00823754">
            <w:pPr>
              <w:jc w:val="right"/>
              <w:rPr>
                <w:rFonts w:ascii="Arial" w:hAnsi="Arial" w:cs="Arial"/>
                <w:color w:val="FFFFFF"/>
                <w:sz w:val="20"/>
                <w:lang w:val="el-GR" w:eastAsia="el-GR"/>
              </w:rPr>
            </w:pPr>
            <w:r w:rsidRPr="0062758E">
              <w:rPr>
                <w:rFonts w:ascii="Arial" w:hAnsi="Arial" w:cs="Arial"/>
                <w:color w:val="FFFFFF"/>
                <w:sz w:val="20"/>
                <w:lang w:val="el-GR" w:eastAsia="el-GR"/>
              </w:rPr>
              <w:t>2012</w:t>
            </w:r>
          </w:p>
        </w:tc>
        <w:tc>
          <w:tcPr>
            <w:tcW w:w="1092" w:type="dxa"/>
            <w:tcBorders>
              <w:top w:val="nil"/>
              <w:left w:val="nil"/>
              <w:bottom w:val="nil"/>
              <w:right w:val="nil"/>
            </w:tcBorders>
            <w:shd w:val="clear" w:color="000000" w:fill="28557D"/>
            <w:vAlign w:val="center"/>
            <w:hideMark/>
          </w:tcPr>
          <w:p w:rsidR="00F85E64" w:rsidRPr="0062758E" w:rsidRDefault="00F85E64" w:rsidP="00823754">
            <w:pPr>
              <w:jc w:val="right"/>
              <w:rPr>
                <w:rFonts w:ascii="Arial" w:hAnsi="Arial" w:cs="Arial"/>
                <w:color w:val="FFFFFF"/>
                <w:sz w:val="20"/>
                <w:lang w:val="el-GR" w:eastAsia="el-GR"/>
              </w:rPr>
            </w:pPr>
            <w:r w:rsidRPr="0062758E">
              <w:rPr>
                <w:rFonts w:ascii="Arial" w:hAnsi="Arial" w:cs="Arial"/>
                <w:color w:val="FFFFFF"/>
                <w:sz w:val="20"/>
                <w:lang w:val="el-GR" w:eastAsia="el-GR"/>
              </w:rPr>
              <w:t>2013</w:t>
            </w:r>
          </w:p>
        </w:tc>
        <w:tc>
          <w:tcPr>
            <w:tcW w:w="1092" w:type="dxa"/>
            <w:tcBorders>
              <w:top w:val="nil"/>
              <w:left w:val="nil"/>
              <w:bottom w:val="nil"/>
              <w:right w:val="nil"/>
            </w:tcBorders>
            <w:shd w:val="clear" w:color="000000" w:fill="28557D"/>
            <w:vAlign w:val="center"/>
            <w:hideMark/>
          </w:tcPr>
          <w:p w:rsidR="00F85E64" w:rsidRPr="0062758E" w:rsidRDefault="00F85E64" w:rsidP="00823754">
            <w:pPr>
              <w:jc w:val="right"/>
              <w:rPr>
                <w:rFonts w:ascii="Arial" w:hAnsi="Arial" w:cs="Arial"/>
                <w:color w:val="FFFFFF"/>
                <w:sz w:val="20"/>
                <w:lang w:val="el-GR" w:eastAsia="el-GR"/>
              </w:rPr>
            </w:pPr>
            <w:r w:rsidRPr="0062758E">
              <w:rPr>
                <w:rFonts w:ascii="Arial" w:hAnsi="Arial" w:cs="Arial"/>
                <w:color w:val="FFFFFF"/>
                <w:sz w:val="20"/>
                <w:lang w:val="el-GR" w:eastAsia="el-GR"/>
              </w:rPr>
              <w:t>2014</w:t>
            </w:r>
          </w:p>
        </w:tc>
        <w:tc>
          <w:tcPr>
            <w:tcW w:w="1092" w:type="dxa"/>
            <w:tcBorders>
              <w:top w:val="nil"/>
              <w:left w:val="nil"/>
              <w:bottom w:val="nil"/>
              <w:right w:val="nil"/>
            </w:tcBorders>
            <w:shd w:val="clear" w:color="000000" w:fill="28557D"/>
            <w:vAlign w:val="center"/>
            <w:hideMark/>
          </w:tcPr>
          <w:p w:rsidR="00F85E64" w:rsidRPr="0062758E" w:rsidRDefault="00F85E64" w:rsidP="00823754">
            <w:pPr>
              <w:jc w:val="right"/>
              <w:rPr>
                <w:rFonts w:ascii="Arial" w:hAnsi="Arial" w:cs="Arial"/>
                <w:color w:val="FFFFFF"/>
                <w:sz w:val="20"/>
                <w:lang w:val="el-GR" w:eastAsia="el-GR"/>
              </w:rPr>
            </w:pPr>
            <w:r w:rsidRPr="0062758E">
              <w:rPr>
                <w:rFonts w:ascii="Arial" w:hAnsi="Arial" w:cs="Arial"/>
                <w:color w:val="FFFFFF"/>
                <w:sz w:val="20"/>
                <w:lang w:val="el-GR" w:eastAsia="el-GR"/>
              </w:rPr>
              <w:t>2015</w:t>
            </w:r>
          </w:p>
        </w:tc>
        <w:tc>
          <w:tcPr>
            <w:tcW w:w="1092" w:type="dxa"/>
            <w:tcBorders>
              <w:top w:val="nil"/>
              <w:left w:val="nil"/>
              <w:bottom w:val="nil"/>
              <w:right w:val="nil"/>
            </w:tcBorders>
            <w:shd w:val="clear" w:color="000000" w:fill="28557D"/>
            <w:vAlign w:val="center"/>
          </w:tcPr>
          <w:p w:rsidR="00F85E64" w:rsidRPr="0062758E" w:rsidRDefault="00F85E64" w:rsidP="00823754">
            <w:pPr>
              <w:jc w:val="right"/>
              <w:rPr>
                <w:rFonts w:ascii="Arial" w:hAnsi="Arial" w:cs="Arial"/>
                <w:color w:val="FFFFFF"/>
                <w:sz w:val="20"/>
                <w:lang w:val="el-GR" w:eastAsia="el-GR"/>
              </w:rPr>
            </w:pPr>
            <w:r w:rsidRPr="0062758E">
              <w:rPr>
                <w:rFonts w:ascii="Arial" w:hAnsi="Arial" w:cs="Arial"/>
                <w:color w:val="FFFFFF"/>
                <w:sz w:val="20"/>
                <w:lang w:val="el-GR" w:eastAsia="el-GR"/>
              </w:rPr>
              <w:t>2016</w:t>
            </w:r>
          </w:p>
        </w:tc>
        <w:tc>
          <w:tcPr>
            <w:tcW w:w="1092" w:type="dxa"/>
            <w:tcBorders>
              <w:top w:val="nil"/>
              <w:left w:val="nil"/>
              <w:bottom w:val="nil"/>
              <w:right w:val="nil"/>
            </w:tcBorders>
            <w:shd w:val="clear" w:color="000000" w:fill="28557D"/>
            <w:vAlign w:val="center"/>
          </w:tcPr>
          <w:p w:rsidR="00F85E64" w:rsidRPr="0062758E" w:rsidRDefault="00F85E64" w:rsidP="00823754">
            <w:pPr>
              <w:jc w:val="right"/>
              <w:rPr>
                <w:rFonts w:ascii="Arial" w:hAnsi="Arial" w:cs="Arial"/>
                <w:color w:val="FFFFFF"/>
                <w:sz w:val="20"/>
                <w:lang w:val="el-GR" w:eastAsia="el-GR"/>
              </w:rPr>
            </w:pPr>
            <w:r w:rsidRPr="0062758E">
              <w:rPr>
                <w:rFonts w:ascii="Arial" w:hAnsi="Arial" w:cs="Arial"/>
                <w:color w:val="FFFFFF"/>
                <w:sz w:val="20"/>
                <w:lang w:val="el-GR" w:eastAsia="el-GR"/>
              </w:rPr>
              <w:t>2017</w:t>
            </w:r>
          </w:p>
        </w:tc>
      </w:tr>
      <w:tr w:rsidR="00F85E64" w:rsidRPr="0062758E" w:rsidTr="00823754">
        <w:trPr>
          <w:trHeight w:val="454"/>
          <w:jc w:val="center"/>
        </w:trPr>
        <w:tc>
          <w:tcPr>
            <w:tcW w:w="1670" w:type="dxa"/>
            <w:shd w:val="clear" w:color="auto" w:fill="FFFFFF" w:themeFill="background1"/>
            <w:vAlign w:val="center"/>
            <w:hideMark/>
          </w:tcPr>
          <w:p w:rsidR="00F85E64" w:rsidRPr="0062758E" w:rsidRDefault="00F85E64" w:rsidP="00823754">
            <w:pPr>
              <w:spacing w:line="259" w:lineRule="auto"/>
              <w:rPr>
                <w:rFonts w:ascii="Arial" w:eastAsiaTheme="minorHAnsi" w:hAnsi="Arial" w:cs="Arial"/>
                <w:sz w:val="18"/>
                <w:lang w:val="el-GR"/>
              </w:rPr>
            </w:pPr>
            <w:r w:rsidRPr="0062758E">
              <w:rPr>
                <w:rFonts w:ascii="Arial" w:eastAsiaTheme="minorHAnsi" w:hAnsi="Arial" w:cs="Arial"/>
                <w:sz w:val="18"/>
                <w:lang w:val="el-GR"/>
              </w:rPr>
              <w:t xml:space="preserve">Τομέας </w:t>
            </w:r>
            <w:r w:rsidRPr="0062758E">
              <w:rPr>
                <w:rFonts w:ascii="Arial" w:eastAsiaTheme="minorHAnsi" w:hAnsi="Arial" w:cs="Arial"/>
                <w:sz w:val="18"/>
                <w:lang w:val="en-US"/>
              </w:rPr>
              <w:t>BES</w:t>
            </w:r>
          </w:p>
        </w:tc>
        <w:tc>
          <w:tcPr>
            <w:tcW w:w="1092" w:type="dxa"/>
            <w:tcBorders>
              <w:top w:val="nil"/>
              <w:left w:val="nil"/>
              <w:bottom w:val="nil"/>
              <w:right w:val="nil"/>
            </w:tcBorders>
            <w:shd w:val="clear" w:color="000000" w:fill="FFFFFF"/>
            <w:vAlign w:val="center"/>
            <w:hideMark/>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485,9</w:t>
            </w:r>
          </w:p>
        </w:tc>
        <w:tc>
          <w:tcPr>
            <w:tcW w:w="1092" w:type="dxa"/>
            <w:tcBorders>
              <w:top w:val="nil"/>
              <w:left w:val="nil"/>
              <w:bottom w:val="nil"/>
              <w:right w:val="nil"/>
            </w:tcBorders>
            <w:shd w:val="clear" w:color="000000" w:fill="FFFFFF"/>
            <w:vAlign w:val="center"/>
            <w:hideMark/>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458,6</w:t>
            </w:r>
          </w:p>
        </w:tc>
        <w:tc>
          <w:tcPr>
            <w:tcW w:w="1092" w:type="dxa"/>
            <w:tcBorders>
              <w:top w:val="nil"/>
              <w:left w:val="nil"/>
              <w:bottom w:val="nil"/>
              <w:right w:val="nil"/>
            </w:tcBorders>
            <w:shd w:val="clear" w:color="000000" w:fill="FFFFFF"/>
            <w:vAlign w:val="center"/>
            <w:hideMark/>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488,7</w:t>
            </w:r>
          </w:p>
        </w:tc>
        <w:tc>
          <w:tcPr>
            <w:tcW w:w="1092" w:type="dxa"/>
            <w:tcBorders>
              <w:top w:val="nil"/>
              <w:left w:val="nil"/>
              <w:bottom w:val="nil"/>
              <w:right w:val="nil"/>
            </w:tcBorders>
            <w:shd w:val="clear" w:color="000000" w:fill="FFFFFF"/>
            <w:vAlign w:val="center"/>
            <w:hideMark/>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504,4</w:t>
            </w:r>
          </w:p>
        </w:tc>
        <w:tc>
          <w:tcPr>
            <w:tcW w:w="1092" w:type="dxa"/>
            <w:tcBorders>
              <w:top w:val="nil"/>
              <w:left w:val="nil"/>
              <w:bottom w:val="nil"/>
              <w:right w:val="nil"/>
            </w:tcBorders>
            <w:shd w:val="clear" w:color="000000" w:fill="FFFFFF"/>
            <w:vAlign w:val="center"/>
            <w:hideMark/>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 xml:space="preserve">561,6 </w:t>
            </w:r>
          </w:p>
        </w:tc>
        <w:tc>
          <w:tcPr>
            <w:tcW w:w="1092" w:type="dxa"/>
            <w:tcBorders>
              <w:top w:val="nil"/>
              <w:left w:val="nil"/>
              <w:bottom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 xml:space="preserve">740,4 </w:t>
            </w:r>
          </w:p>
        </w:tc>
        <w:tc>
          <w:tcPr>
            <w:tcW w:w="1092" w:type="dxa"/>
            <w:tcBorders>
              <w:top w:val="nil"/>
              <w:left w:val="nil"/>
              <w:bottom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 xml:space="preserve">990,8 </w:t>
            </w:r>
          </w:p>
        </w:tc>
      </w:tr>
      <w:tr w:rsidR="00F85E64" w:rsidRPr="0062758E" w:rsidTr="00823754">
        <w:trPr>
          <w:trHeight w:val="454"/>
          <w:jc w:val="center"/>
        </w:trPr>
        <w:tc>
          <w:tcPr>
            <w:tcW w:w="1670" w:type="dxa"/>
            <w:shd w:val="clear" w:color="auto" w:fill="FFFFFF" w:themeFill="background1"/>
            <w:vAlign w:val="center"/>
            <w:hideMark/>
          </w:tcPr>
          <w:p w:rsidR="00F85E64" w:rsidRPr="0062758E" w:rsidRDefault="00F85E64" w:rsidP="00823754">
            <w:pPr>
              <w:spacing w:line="259" w:lineRule="auto"/>
              <w:rPr>
                <w:rFonts w:ascii="Arial" w:eastAsiaTheme="minorHAnsi" w:hAnsi="Arial" w:cs="Arial"/>
                <w:sz w:val="18"/>
                <w:lang w:val="el-GR"/>
              </w:rPr>
            </w:pPr>
            <w:r w:rsidRPr="0062758E">
              <w:rPr>
                <w:rFonts w:ascii="Arial" w:eastAsiaTheme="minorHAnsi" w:hAnsi="Arial" w:cs="Arial"/>
                <w:sz w:val="18"/>
                <w:lang w:val="el-GR"/>
              </w:rPr>
              <w:t xml:space="preserve">Τομέας </w:t>
            </w:r>
            <w:r w:rsidRPr="0062758E">
              <w:rPr>
                <w:rFonts w:ascii="Arial" w:eastAsiaTheme="minorHAnsi" w:hAnsi="Arial" w:cs="Arial"/>
                <w:sz w:val="18"/>
                <w:lang w:val="en-US"/>
              </w:rPr>
              <w:t>GOV</w:t>
            </w:r>
          </w:p>
        </w:tc>
        <w:tc>
          <w:tcPr>
            <w:tcW w:w="1092" w:type="dxa"/>
            <w:tcBorders>
              <w:top w:val="nil"/>
              <w:left w:val="nil"/>
              <w:bottom w:val="nil"/>
              <w:right w:val="nil"/>
            </w:tcBorders>
            <w:shd w:val="clear" w:color="000000" w:fill="FFFFFF"/>
            <w:vAlign w:val="center"/>
            <w:hideMark/>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331,7</w:t>
            </w:r>
          </w:p>
        </w:tc>
        <w:tc>
          <w:tcPr>
            <w:tcW w:w="1092" w:type="dxa"/>
            <w:tcBorders>
              <w:top w:val="nil"/>
              <w:left w:val="nil"/>
              <w:bottom w:val="nil"/>
              <w:right w:val="nil"/>
            </w:tcBorders>
            <w:shd w:val="clear" w:color="000000" w:fill="FFFFFF"/>
            <w:vAlign w:val="center"/>
            <w:hideMark/>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331,9</w:t>
            </w:r>
          </w:p>
        </w:tc>
        <w:tc>
          <w:tcPr>
            <w:tcW w:w="1092" w:type="dxa"/>
            <w:tcBorders>
              <w:top w:val="nil"/>
              <w:left w:val="nil"/>
              <w:bottom w:val="nil"/>
              <w:right w:val="nil"/>
            </w:tcBorders>
            <w:shd w:val="clear" w:color="000000" w:fill="FFFFFF"/>
            <w:vAlign w:val="center"/>
            <w:hideMark/>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410,1</w:t>
            </w:r>
          </w:p>
        </w:tc>
        <w:tc>
          <w:tcPr>
            <w:tcW w:w="1092" w:type="dxa"/>
            <w:tcBorders>
              <w:top w:val="nil"/>
              <w:left w:val="nil"/>
              <w:bottom w:val="nil"/>
              <w:right w:val="nil"/>
            </w:tcBorders>
            <w:shd w:val="clear" w:color="000000" w:fill="FFFFFF"/>
            <w:vAlign w:val="center"/>
            <w:hideMark/>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412,7</w:t>
            </w:r>
          </w:p>
        </w:tc>
        <w:tc>
          <w:tcPr>
            <w:tcW w:w="1092" w:type="dxa"/>
            <w:tcBorders>
              <w:top w:val="nil"/>
              <w:left w:val="nil"/>
              <w:bottom w:val="nil"/>
              <w:right w:val="nil"/>
            </w:tcBorders>
            <w:shd w:val="clear" w:color="000000" w:fill="FFFFFF"/>
            <w:vAlign w:val="center"/>
            <w:hideMark/>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 xml:space="preserve">479,4 </w:t>
            </w:r>
          </w:p>
        </w:tc>
        <w:tc>
          <w:tcPr>
            <w:tcW w:w="1092" w:type="dxa"/>
            <w:tcBorders>
              <w:top w:val="nil"/>
              <w:left w:val="nil"/>
              <w:bottom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 xml:space="preserve">438,8 </w:t>
            </w:r>
          </w:p>
        </w:tc>
        <w:tc>
          <w:tcPr>
            <w:tcW w:w="1092" w:type="dxa"/>
            <w:tcBorders>
              <w:top w:val="nil"/>
              <w:left w:val="nil"/>
              <w:bottom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 xml:space="preserve">448,1 </w:t>
            </w:r>
          </w:p>
        </w:tc>
      </w:tr>
      <w:tr w:rsidR="00F85E64" w:rsidRPr="0062758E" w:rsidTr="00823754">
        <w:trPr>
          <w:trHeight w:val="454"/>
          <w:jc w:val="center"/>
        </w:trPr>
        <w:tc>
          <w:tcPr>
            <w:tcW w:w="1670" w:type="dxa"/>
            <w:shd w:val="clear" w:color="auto" w:fill="FFFFFF" w:themeFill="background1"/>
            <w:vAlign w:val="center"/>
          </w:tcPr>
          <w:p w:rsidR="00F85E64" w:rsidRPr="0062758E" w:rsidRDefault="00F85E64" w:rsidP="00823754">
            <w:pPr>
              <w:spacing w:line="259" w:lineRule="auto"/>
              <w:rPr>
                <w:rFonts w:ascii="Arial" w:eastAsiaTheme="minorHAnsi" w:hAnsi="Arial" w:cs="Arial"/>
                <w:sz w:val="18"/>
                <w:lang w:val="el-GR"/>
              </w:rPr>
            </w:pPr>
            <w:r w:rsidRPr="0062758E">
              <w:rPr>
                <w:rFonts w:ascii="Arial" w:eastAsiaTheme="minorHAnsi" w:hAnsi="Arial" w:cs="Arial"/>
                <w:sz w:val="18"/>
                <w:lang w:val="el-GR"/>
              </w:rPr>
              <w:t xml:space="preserve">Τομέας </w:t>
            </w:r>
            <w:r w:rsidRPr="0062758E">
              <w:rPr>
                <w:rFonts w:ascii="Arial" w:eastAsiaTheme="minorHAnsi" w:hAnsi="Arial" w:cs="Arial"/>
                <w:sz w:val="18"/>
                <w:lang w:val="en-US"/>
              </w:rPr>
              <w:t>HES</w:t>
            </w:r>
          </w:p>
        </w:tc>
        <w:tc>
          <w:tcPr>
            <w:tcW w:w="1092" w:type="dxa"/>
            <w:tcBorders>
              <w:top w:val="nil"/>
              <w:left w:val="nil"/>
              <w:bottom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559,5</w:t>
            </w:r>
          </w:p>
        </w:tc>
        <w:tc>
          <w:tcPr>
            <w:tcW w:w="1092" w:type="dxa"/>
            <w:tcBorders>
              <w:top w:val="nil"/>
              <w:left w:val="nil"/>
              <w:bottom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534,3</w:t>
            </w:r>
          </w:p>
        </w:tc>
        <w:tc>
          <w:tcPr>
            <w:tcW w:w="1092" w:type="dxa"/>
            <w:tcBorders>
              <w:top w:val="nil"/>
              <w:left w:val="nil"/>
              <w:bottom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548,6</w:t>
            </w:r>
          </w:p>
        </w:tc>
        <w:tc>
          <w:tcPr>
            <w:tcW w:w="1092" w:type="dxa"/>
            <w:tcBorders>
              <w:top w:val="nil"/>
              <w:left w:val="nil"/>
              <w:bottom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553,2</w:t>
            </w:r>
          </w:p>
        </w:tc>
        <w:tc>
          <w:tcPr>
            <w:tcW w:w="1092" w:type="dxa"/>
            <w:tcBorders>
              <w:top w:val="nil"/>
              <w:left w:val="nil"/>
              <w:bottom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 xml:space="preserve">643,8 </w:t>
            </w:r>
          </w:p>
        </w:tc>
        <w:tc>
          <w:tcPr>
            <w:tcW w:w="1092" w:type="dxa"/>
            <w:tcBorders>
              <w:top w:val="nil"/>
              <w:left w:val="nil"/>
              <w:bottom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5</w:t>
            </w:r>
            <w:r w:rsidRPr="0062758E">
              <w:rPr>
                <w:rFonts w:ascii="Arial" w:eastAsiaTheme="minorHAnsi" w:hAnsi="Arial" w:cs="Arial"/>
                <w:sz w:val="18"/>
                <w:szCs w:val="22"/>
                <w:lang w:val="en-US"/>
              </w:rPr>
              <w:t>5</w:t>
            </w:r>
            <w:r w:rsidRPr="0062758E">
              <w:rPr>
                <w:rFonts w:ascii="Arial" w:eastAsiaTheme="minorHAnsi" w:hAnsi="Arial" w:cs="Arial"/>
                <w:sz w:val="18"/>
                <w:szCs w:val="22"/>
                <w:lang w:val="el-GR"/>
              </w:rPr>
              <w:t>9,4</w:t>
            </w:r>
          </w:p>
        </w:tc>
        <w:tc>
          <w:tcPr>
            <w:tcW w:w="1092" w:type="dxa"/>
            <w:tcBorders>
              <w:top w:val="nil"/>
              <w:left w:val="nil"/>
              <w:bottom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 xml:space="preserve">577,7 </w:t>
            </w:r>
          </w:p>
        </w:tc>
      </w:tr>
      <w:tr w:rsidR="00F85E64" w:rsidRPr="0062758E" w:rsidTr="00823754">
        <w:trPr>
          <w:trHeight w:val="454"/>
          <w:jc w:val="center"/>
        </w:trPr>
        <w:tc>
          <w:tcPr>
            <w:tcW w:w="1670" w:type="dxa"/>
            <w:shd w:val="clear" w:color="auto" w:fill="FFFFFF" w:themeFill="background1"/>
            <w:vAlign w:val="center"/>
          </w:tcPr>
          <w:p w:rsidR="00F85E64" w:rsidRPr="0062758E" w:rsidRDefault="00F85E64" w:rsidP="00823754">
            <w:pPr>
              <w:spacing w:line="259" w:lineRule="auto"/>
              <w:rPr>
                <w:rFonts w:ascii="Arial" w:eastAsiaTheme="minorHAnsi" w:hAnsi="Arial" w:cs="Arial"/>
                <w:sz w:val="18"/>
                <w:lang w:val="en-US"/>
              </w:rPr>
            </w:pPr>
            <w:r w:rsidRPr="0062758E">
              <w:rPr>
                <w:rFonts w:ascii="Arial" w:eastAsiaTheme="minorHAnsi" w:hAnsi="Arial" w:cs="Arial"/>
                <w:sz w:val="18"/>
                <w:lang w:val="el-GR"/>
              </w:rPr>
              <w:t xml:space="preserve">Τομέας </w:t>
            </w:r>
            <w:r w:rsidRPr="0062758E">
              <w:rPr>
                <w:rFonts w:ascii="Arial" w:eastAsiaTheme="minorHAnsi" w:hAnsi="Arial" w:cs="Arial"/>
                <w:sz w:val="18"/>
                <w:lang w:val="en-US"/>
              </w:rPr>
              <w:t>PNP</w:t>
            </w:r>
          </w:p>
        </w:tc>
        <w:tc>
          <w:tcPr>
            <w:tcW w:w="1092" w:type="dxa"/>
            <w:tcBorders>
              <w:top w:val="nil"/>
              <w:left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14,0</w:t>
            </w:r>
          </w:p>
        </w:tc>
        <w:tc>
          <w:tcPr>
            <w:tcW w:w="1092" w:type="dxa"/>
            <w:tcBorders>
              <w:top w:val="nil"/>
              <w:left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12,8</w:t>
            </w:r>
          </w:p>
        </w:tc>
        <w:tc>
          <w:tcPr>
            <w:tcW w:w="1092" w:type="dxa"/>
            <w:tcBorders>
              <w:top w:val="nil"/>
              <w:left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18,3</w:t>
            </w:r>
          </w:p>
        </w:tc>
        <w:tc>
          <w:tcPr>
            <w:tcW w:w="1092" w:type="dxa"/>
            <w:tcBorders>
              <w:top w:val="nil"/>
              <w:left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18,5</w:t>
            </w:r>
          </w:p>
        </w:tc>
        <w:tc>
          <w:tcPr>
            <w:tcW w:w="1092" w:type="dxa"/>
            <w:tcBorders>
              <w:top w:val="nil"/>
              <w:left w:val="nil"/>
              <w:bottom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 xml:space="preserve">19,1 </w:t>
            </w:r>
          </w:p>
        </w:tc>
        <w:tc>
          <w:tcPr>
            <w:tcW w:w="1092" w:type="dxa"/>
            <w:tcBorders>
              <w:top w:val="nil"/>
              <w:left w:val="nil"/>
              <w:bottom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 xml:space="preserve">15,6 </w:t>
            </w:r>
          </w:p>
        </w:tc>
        <w:tc>
          <w:tcPr>
            <w:tcW w:w="1092" w:type="dxa"/>
            <w:tcBorders>
              <w:top w:val="nil"/>
              <w:left w:val="nil"/>
              <w:bottom w:val="nil"/>
              <w:right w:val="nil"/>
            </w:tcBorders>
            <w:shd w:val="clear" w:color="000000" w:fill="FFFFFF"/>
            <w:vAlign w:val="center"/>
          </w:tcPr>
          <w:p w:rsidR="00F85E64" w:rsidRPr="0062758E" w:rsidRDefault="00F85E64" w:rsidP="00823754">
            <w:pPr>
              <w:spacing w:line="259" w:lineRule="auto"/>
              <w:jc w:val="right"/>
              <w:rPr>
                <w:rFonts w:ascii="Arial" w:eastAsiaTheme="minorHAnsi" w:hAnsi="Arial" w:cs="Arial"/>
                <w:sz w:val="18"/>
                <w:szCs w:val="22"/>
                <w:lang w:val="el-GR"/>
              </w:rPr>
            </w:pPr>
            <w:r w:rsidRPr="0062758E">
              <w:rPr>
                <w:rFonts w:ascii="Arial" w:eastAsiaTheme="minorHAnsi" w:hAnsi="Arial" w:cs="Arial"/>
                <w:sz w:val="18"/>
                <w:szCs w:val="22"/>
                <w:lang w:val="el-GR"/>
              </w:rPr>
              <w:t xml:space="preserve">16,4 </w:t>
            </w:r>
          </w:p>
        </w:tc>
      </w:tr>
      <w:tr w:rsidR="00F85E64" w:rsidRPr="0062758E" w:rsidTr="00823754">
        <w:trPr>
          <w:trHeight w:val="510"/>
          <w:jc w:val="center"/>
        </w:trPr>
        <w:tc>
          <w:tcPr>
            <w:tcW w:w="1670" w:type="dxa"/>
            <w:tcBorders>
              <w:bottom w:val="single" w:sz="4" w:space="0" w:color="28557D"/>
            </w:tcBorders>
            <w:shd w:val="clear" w:color="auto" w:fill="D5DCE4" w:themeFill="text2" w:themeFillTint="33"/>
            <w:vAlign w:val="center"/>
          </w:tcPr>
          <w:p w:rsidR="00F85E64" w:rsidRPr="0062758E" w:rsidRDefault="00F85E64" w:rsidP="00B255F2">
            <w:pPr>
              <w:spacing w:line="259" w:lineRule="auto"/>
              <w:rPr>
                <w:rFonts w:ascii="Arial" w:eastAsiaTheme="minorHAnsi" w:hAnsi="Arial" w:cs="Arial"/>
                <w:b/>
                <w:color w:val="28557D"/>
                <w:sz w:val="20"/>
                <w:lang w:val="en-US"/>
              </w:rPr>
            </w:pPr>
            <w:r w:rsidRPr="0062758E">
              <w:rPr>
                <w:rFonts w:ascii="Arial" w:eastAsiaTheme="minorHAnsi" w:hAnsi="Arial" w:cs="Arial"/>
                <w:b/>
                <w:color w:val="28557D"/>
                <w:sz w:val="20"/>
                <w:lang w:val="el-GR"/>
              </w:rPr>
              <w:t>ΣΥΝΟΛΟ</w:t>
            </w:r>
          </w:p>
        </w:tc>
        <w:tc>
          <w:tcPr>
            <w:tcW w:w="1092" w:type="dxa"/>
            <w:tcBorders>
              <w:top w:val="nil"/>
              <w:left w:val="nil"/>
              <w:bottom w:val="single" w:sz="4" w:space="0" w:color="28557D"/>
              <w:right w:val="nil"/>
            </w:tcBorders>
            <w:shd w:val="clear" w:color="auto" w:fill="D5DCE4" w:themeFill="text2" w:themeFillTint="33"/>
            <w:vAlign w:val="center"/>
          </w:tcPr>
          <w:p w:rsidR="00F85E64" w:rsidRPr="0062758E" w:rsidRDefault="00F85E64" w:rsidP="00823754">
            <w:pPr>
              <w:spacing w:line="259" w:lineRule="auto"/>
              <w:jc w:val="right"/>
              <w:rPr>
                <w:rFonts w:ascii="Arial" w:eastAsiaTheme="minorHAnsi" w:hAnsi="Arial" w:cs="Arial"/>
                <w:b/>
                <w:color w:val="28557D"/>
                <w:sz w:val="20"/>
                <w:lang w:val="el-GR"/>
              </w:rPr>
            </w:pPr>
            <w:r w:rsidRPr="0062758E">
              <w:rPr>
                <w:rFonts w:ascii="Arial" w:eastAsiaTheme="minorHAnsi" w:hAnsi="Arial" w:cs="Arial"/>
                <w:b/>
                <w:color w:val="28557D"/>
                <w:sz w:val="20"/>
                <w:lang w:val="el-GR"/>
              </w:rPr>
              <w:t>1.391,2</w:t>
            </w:r>
          </w:p>
        </w:tc>
        <w:tc>
          <w:tcPr>
            <w:tcW w:w="1092" w:type="dxa"/>
            <w:tcBorders>
              <w:top w:val="nil"/>
              <w:left w:val="nil"/>
              <w:bottom w:val="single" w:sz="4" w:space="0" w:color="28557D"/>
              <w:right w:val="nil"/>
            </w:tcBorders>
            <w:shd w:val="clear" w:color="auto" w:fill="D5DCE4" w:themeFill="text2" w:themeFillTint="33"/>
            <w:vAlign w:val="center"/>
          </w:tcPr>
          <w:p w:rsidR="00F85E64" w:rsidRPr="0062758E" w:rsidRDefault="00F85E64" w:rsidP="00823754">
            <w:pPr>
              <w:spacing w:line="259" w:lineRule="auto"/>
              <w:jc w:val="right"/>
              <w:rPr>
                <w:rFonts w:ascii="Arial" w:eastAsiaTheme="minorHAnsi" w:hAnsi="Arial" w:cs="Arial"/>
                <w:b/>
                <w:color w:val="28557D"/>
                <w:sz w:val="20"/>
                <w:lang w:val="el-GR"/>
              </w:rPr>
            </w:pPr>
            <w:r w:rsidRPr="0062758E">
              <w:rPr>
                <w:rFonts w:ascii="Arial" w:eastAsiaTheme="minorHAnsi" w:hAnsi="Arial" w:cs="Arial"/>
                <w:b/>
                <w:color w:val="28557D"/>
                <w:sz w:val="20"/>
                <w:lang w:val="el-GR"/>
              </w:rPr>
              <w:t>1.337,6</w:t>
            </w:r>
          </w:p>
        </w:tc>
        <w:tc>
          <w:tcPr>
            <w:tcW w:w="1092" w:type="dxa"/>
            <w:tcBorders>
              <w:top w:val="nil"/>
              <w:left w:val="nil"/>
              <w:bottom w:val="single" w:sz="4" w:space="0" w:color="28557D"/>
              <w:right w:val="nil"/>
            </w:tcBorders>
            <w:shd w:val="clear" w:color="auto" w:fill="D5DCE4" w:themeFill="text2" w:themeFillTint="33"/>
            <w:vAlign w:val="center"/>
          </w:tcPr>
          <w:p w:rsidR="00F85E64" w:rsidRPr="0062758E" w:rsidRDefault="00F85E64" w:rsidP="00823754">
            <w:pPr>
              <w:spacing w:line="259" w:lineRule="auto"/>
              <w:jc w:val="right"/>
              <w:rPr>
                <w:rFonts w:ascii="Arial" w:eastAsiaTheme="minorHAnsi" w:hAnsi="Arial" w:cs="Arial"/>
                <w:b/>
                <w:color w:val="28557D"/>
                <w:sz w:val="20"/>
                <w:lang w:val="el-GR"/>
              </w:rPr>
            </w:pPr>
            <w:r w:rsidRPr="0062758E">
              <w:rPr>
                <w:rFonts w:ascii="Arial" w:eastAsiaTheme="minorHAnsi" w:hAnsi="Arial" w:cs="Arial"/>
                <w:b/>
                <w:color w:val="28557D"/>
                <w:sz w:val="20"/>
                <w:lang w:val="el-GR"/>
              </w:rPr>
              <w:t>1.465,7</w:t>
            </w:r>
          </w:p>
        </w:tc>
        <w:tc>
          <w:tcPr>
            <w:tcW w:w="1092" w:type="dxa"/>
            <w:tcBorders>
              <w:top w:val="nil"/>
              <w:left w:val="nil"/>
              <w:bottom w:val="single" w:sz="4" w:space="0" w:color="28557D"/>
              <w:right w:val="nil"/>
            </w:tcBorders>
            <w:shd w:val="clear" w:color="auto" w:fill="D5DCE4" w:themeFill="text2" w:themeFillTint="33"/>
            <w:vAlign w:val="center"/>
          </w:tcPr>
          <w:p w:rsidR="00F85E64" w:rsidRPr="0062758E" w:rsidRDefault="00F85E64" w:rsidP="00823754">
            <w:pPr>
              <w:spacing w:line="259" w:lineRule="auto"/>
              <w:jc w:val="right"/>
              <w:rPr>
                <w:rFonts w:ascii="Arial" w:eastAsiaTheme="minorHAnsi" w:hAnsi="Arial" w:cs="Arial"/>
                <w:b/>
                <w:color w:val="28557D"/>
                <w:sz w:val="20"/>
                <w:lang w:val="el-GR"/>
              </w:rPr>
            </w:pPr>
            <w:r w:rsidRPr="0062758E">
              <w:rPr>
                <w:rFonts w:ascii="Arial" w:eastAsiaTheme="minorHAnsi" w:hAnsi="Arial" w:cs="Arial"/>
                <w:b/>
                <w:color w:val="28557D"/>
                <w:sz w:val="20"/>
                <w:lang w:val="el-GR"/>
              </w:rPr>
              <w:t>1.488,7</w:t>
            </w:r>
          </w:p>
        </w:tc>
        <w:tc>
          <w:tcPr>
            <w:tcW w:w="1092" w:type="dxa"/>
            <w:tcBorders>
              <w:top w:val="nil"/>
              <w:left w:val="nil"/>
              <w:bottom w:val="single" w:sz="8" w:space="0" w:color="556978"/>
              <w:right w:val="nil"/>
            </w:tcBorders>
            <w:shd w:val="clear" w:color="auto" w:fill="D5DCE4" w:themeFill="text2" w:themeFillTint="33"/>
            <w:vAlign w:val="center"/>
          </w:tcPr>
          <w:p w:rsidR="00F85E64" w:rsidRPr="0062758E" w:rsidRDefault="00F85E64" w:rsidP="00823754">
            <w:pPr>
              <w:spacing w:line="259" w:lineRule="auto"/>
              <w:jc w:val="right"/>
              <w:rPr>
                <w:rFonts w:ascii="Arial" w:eastAsiaTheme="minorHAnsi" w:hAnsi="Arial" w:cs="Arial"/>
                <w:b/>
                <w:color w:val="28557D"/>
                <w:sz w:val="20"/>
                <w:lang w:val="el-GR"/>
              </w:rPr>
            </w:pPr>
            <w:r w:rsidRPr="0062758E">
              <w:rPr>
                <w:rFonts w:ascii="Arial" w:eastAsiaTheme="minorHAnsi" w:hAnsi="Arial" w:cs="Arial"/>
                <w:b/>
                <w:color w:val="28557D"/>
                <w:sz w:val="20"/>
                <w:lang w:val="el-GR"/>
              </w:rPr>
              <w:t>1.703,8</w:t>
            </w:r>
          </w:p>
        </w:tc>
        <w:tc>
          <w:tcPr>
            <w:tcW w:w="1092" w:type="dxa"/>
            <w:tcBorders>
              <w:top w:val="nil"/>
              <w:left w:val="nil"/>
              <w:bottom w:val="single" w:sz="8" w:space="0" w:color="556978"/>
              <w:right w:val="nil"/>
            </w:tcBorders>
            <w:shd w:val="clear" w:color="auto" w:fill="D5DCE4" w:themeFill="text2" w:themeFillTint="33"/>
            <w:vAlign w:val="center"/>
          </w:tcPr>
          <w:p w:rsidR="00F85E64" w:rsidRPr="0062758E" w:rsidRDefault="00F85E64" w:rsidP="00823754">
            <w:pPr>
              <w:spacing w:line="259" w:lineRule="auto"/>
              <w:jc w:val="right"/>
              <w:rPr>
                <w:rFonts w:ascii="Arial" w:eastAsiaTheme="minorHAnsi" w:hAnsi="Arial" w:cs="Arial"/>
                <w:b/>
                <w:color w:val="28557D"/>
                <w:sz w:val="20"/>
                <w:lang w:val="el-GR"/>
              </w:rPr>
            </w:pPr>
            <w:r w:rsidRPr="0062758E">
              <w:rPr>
                <w:rFonts w:ascii="Arial" w:eastAsiaTheme="minorHAnsi" w:hAnsi="Arial" w:cs="Arial"/>
                <w:b/>
                <w:color w:val="28557D"/>
                <w:sz w:val="20"/>
                <w:lang w:val="el-GR"/>
              </w:rPr>
              <w:t>1.754,2</w:t>
            </w:r>
          </w:p>
        </w:tc>
        <w:tc>
          <w:tcPr>
            <w:tcW w:w="1092" w:type="dxa"/>
            <w:tcBorders>
              <w:top w:val="nil"/>
              <w:left w:val="nil"/>
              <w:bottom w:val="single" w:sz="8" w:space="0" w:color="556978"/>
              <w:right w:val="nil"/>
            </w:tcBorders>
            <w:shd w:val="clear" w:color="auto" w:fill="D5DCE4" w:themeFill="text2" w:themeFillTint="33"/>
            <w:vAlign w:val="center"/>
          </w:tcPr>
          <w:p w:rsidR="00F85E64" w:rsidRPr="0062758E" w:rsidRDefault="00F85E64" w:rsidP="00823754">
            <w:pPr>
              <w:spacing w:line="259" w:lineRule="auto"/>
              <w:jc w:val="right"/>
              <w:rPr>
                <w:rFonts w:ascii="Arial" w:eastAsiaTheme="minorHAnsi" w:hAnsi="Arial" w:cs="Arial"/>
                <w:b/>
                <w:color w:val="28557D"/>
                <w:sz w:val="20"/>
                <w:lang w:val="el-GR"/>
              </w:rPr>
            </w:pPr>
            <w:r w:rsidRPr="0062758E">
              <w:rPr>
                <w:rFonts w:ascii="Arial" w:eastAsiaTheme="minorHAnsi" w:hAnsi="Arial" w:cs="Arial"/>
                <w:b/>
                <w:color w:val="28557D"/>
                <w:sz w:val="20"/>
                <w:lang w:val="el-GR"/>
              </w:rPr>
              <w:t>2.033,0</w:t>
            </w:r>
          </w:p>
        </w:tc>
      </w:tr>
    </w:tbl>
    <w:p w:rsidR="00B255F2" w:rsidRPr="00702F79" w:rsidRDefault="00BB28CB" w:rsidP="00BB28CB">
      <w:pPr>
        <w:spacing w:after="160" w:line="259" w:lineRule="auto"/>
        <w:ind w:left="-426" w:right="-902"/>
        <w:rPr>
          <w:rFonts w:ascii="Verdana" w:eastAsiaTheme="minorHAnsi" w:hAnsi="Verdana" w:cs="Arial"/>
          <w:i/>
          <w:iCs/>
          <w:sz w:val="14"/>
          <w:szCs w:val="16"/>
          <w:lang w:val="el-GR"/>
        </w:rPr>
      </w:pPr>
      <w:r>
        <w:rPr>
          <w:rFonts w:ascii="Verdana" w:eastAsiaTheme="minorHAnsi" w:hAnsi="Verdana" w:cs="Arial"/>
          <w:iCs/>
          <w:sz w:val="16"/>
          <w:szCs w:val="16"/>
          <w:lang w:val="el-GR"/>
        </w:rPr>
        <w:br/>
      </w:r>
      <w:r w:rsidR="00B255F2" w:rsidRPr="00F85E64">
        <w:rPr>
          <w:rFonts w:ascii="Verdana" w:eastAsiaTheme="minorHAnsi" w:hAnsi="Verdana" w:cs="Arial"/>
          <w:iCs/>
          <w:sz w:val="16"/>
          <w:szCs w:val="16"/>
          <w:lang w:val="el-GR"/>
        </w:rPr>
        <w:t>Πηγή: Ε</w:t>
      </w:r>
      <w:r w:rsidR="009344AF">
        <w:rPr>
          <w:rFonts w:ascii="Verdana" w:eastAsiaTheme="minorHAnsi" w:hAnsi="Verdana" w:cs="Arial"/>
          <w:iCs/>
          <w:sz w:val="16"/>
          <w:szCs w:val="16"/>
          <w:lang w:val="el-GR"/>
        </w:rPr>
        <w:t xml:space="preserve">θνικό Κέντρο Τεκμηρίωσης </w:t>
      </w:r>
      <w:r w:rsidR="00B255F2" w:rsidRPr="00F85E64">
        <w:rPr>
          <w:rFonts w:ascii="Verdana" w:eastAsiaTheme="minorHAnsi" w:hAnsi="Verdana" w:cs="Arial"/>
          <w:iCs/>
          <w:sz w:val="16"/>
          <w:szCs w:val="16"/>
          <w:lang w:val="el-GR"/>
        </w:rPr>
        <w:t>(http://metrics.ekt.gr/statistika-etak/datatables, κωδικός στοιχείων: Δ1)</w:t>
      </w:r>
      <w:r w:rsidR="00B255F2">
        <w:rPr>
          <w:rFonts w:ascii="Verdana" w:eastAsiaTheme="minorHAnsi" w:hAnsi="Verdana" w:cs="Arial"/>
          <w:iCs/>
          <w:sz w:val="16"/>
          <w:szCs w:val="16"/>
          <w:lang w:val="el-GR"/>
        </w:rPr>
        <w:br/>
      </w:r>
    </w:p>
    <w:p w:rsidR="00F85E64" w:rsidRDefault="00F85E64" w:rsidP="00F85E64">
      <w:pPr>
        <w:rPr>
          <w:rFonts w:ascii="Arial" w:eastAsiaTheme="minorHAnsi" w:hAnsi="Arial" w:cs="Arial"/>
          <w:b/>
          <w:iCs/>
          <w:sz w:val="18"/>
          <w:lang w:val="el-GR"/>
        </w:rPr>
      </w:pPr>
    </w:p>
    <w:p w:rsidR="00F85E64" w:rsidRDefault="00F85E64">
      <w:pPr>
        <w:rPr>
          <w:rFonts w:ascii="Arial" w:hAnsi="Arial" w:cs="Arial"/>
          <w:b/>
          <w:iCs/>
          <w:sz w:val="18"/>
          <w:lang w:val="el-GR"/>
        </w:rPr>
      </w:pPr>
    </w:p>
    <w:p w:rsidR="00B255F2" w:rsidRDefault="00B255F2">
      <w:pPr>
        <w:rPr>
          <w:rFonts w:ascii="Arial" w:hAnsi="Arial" w:cs="Arial"/>
          <w:b/>
          <w:iCs/>
          <w:sz w:val="18"/>
          <w:lang w:val="el-GR"/>
        </w:rPr>
      </w:pPr>
      <w:r>
        <w:rPr>
          <w:rFonts w:ascii="Arial" w:hAnsi="Arial" w:cs="Arial"/>
          <w:b/>
          <w:iCs/>
          <w:sz w:val="18"/>
          <w:lang w:val="el-GR"/>
        </w:rPr>
        <w:br w:type="page"/>
      </w:r>
    </w:p>
    <w:p w:rsidR="00BB28CB" w:rsidRDefault="00BB28CB" w:rsidP="00BB28CB">
      <w:pPr>
        <w:rPr>
          <w:rFonts w:ascii="Arial" w:eastAsiaTheme="minorHAnsi" w:hAnsi="Arial" w:cs="Arial"/>
          <w:b/>
          <w:iCs/>
          <w:sz w:val="18"/>
          <w:lang w:val="el-GR"/>
        </w:rPr>
      </w:pPr>
    </w:p>
    <w:p w:rsidR="00BB28CB" w:rsidRDefault="00BB28CB" w:rsidP="00BB28CB">
      <w:pPr>
        <w:ind w:left="-709"/>
        <w:rPr>
          <w:rFonts w:ascii="Verdana" w:eastAsiaTheme="minorHAnsi" w:hAnsi="Verdana" w:cs="Arial"/>
          <w:b/>
          <w:iCs/>
          <w:sz w:val="20"/>
          <w:lang w:val="el-GR"/>
        </w:rPr>
      </w:pPr>
      <w:r w:rsidRPr="00B255F2">
        <w:rPr>
          <w:rFonts w:ascii="Verdana" w:eastAsiaTheme="minorHAnsi" w:hAnsi="Verdana" w:cs="Arial"/>
          <w:b/>
          <w:iCs/>
          <w:sz w:val="20"/>
          <w:lang w:val="el-GR"/>
        </w:rPr>
        <w:t>Πηγές από τις οποίες χρηματοδοτούνται δαπάνες για Ε&amp;Α στο σύνολο της χώρας</w:t>
      </w:r>
      <w:r>
        <w:rPr>
          <w:rFonts w:ascii="Verdana" w:eastAsiaTheme="minorHAnsi" w:hAnsi="Verdana" w:cs="Arial"/>
          <w:b/>
          <w:iCs/>
          <w:sz w:val="20"/>
          <w:lang w:val="el-GR"/>
        </w:rPr>
        <w:t xml:space="preserve"> </w:t>
      </w:r>
      <w:r w:rsidRPr="00B255F2">
        <w:rPr>
          <w:rFonts w:ascii="Verdana" w:eastAsiaTheme="minorHAnsi" w:hAnsi="Verdana" w:cs="Arial"/>
          <w:b/>
          <w:iCs/>
          <w:sz w:val="20"/>
          <w:lang w:val="el-GR"/>
        </w:rPr>
        <w:t>(σε εκατ. €), 2011 – 2017</w:t>
      </w:r>
    </w:p>
    <w:p w:rsidR="00BB28CB" w:rsidRDefault="00BB28CB" w:rsidP="00BB28CB">
      <w:pPr>
        <w:ind w:hanging="709"/>
        <w:rPr>
          <w:rFonts w:ascii="Verdana" w:eastAsiaTheme="minorHAnsi" w:hAnsi="Verdana" w:cs="Arial"/>
          <w:b/>
          <w:iCs/>
          <w:sz w:val="20"/>
          <w:lang w:val="el-GR"/>
        </w:rPr>
      </w:pPr>
    </w:p>
    <w:tbl>
      <w:tblPr>
        <w:tblW w:w="10131" w:type="dxa"/>
        <w:jc w:val="center"/>
        <w:tblLayout w:type="fixed"/>
        <w:tblLook w:val="04A0" w:firstRow="1" w:lastRow="0" w:firstColumn="1" w:lastColumn="0" w:noHBand="0" w:noVBand="1"/>
      </w:tblPr>
      <w:tblGrid>
        <w:gridCol w:w="1941"/>
        <w:gridCol w:w="1170"/>
        <w:gridCol w:w="1170"/>
        <w:gridCol w:w="1170"/>
        <w:gridCol w:w="1170"/>
        <w:gridCol w:w="1170"/>
        <w:gridCol w:w="1170"/>
        <w:gridCol w:w="1170"/>
      </w:tblGrid>
      <w:tr w:rsidR="00BB28CB" w:rsidRPr="000C4446" w:rsidTr="00823754">
        <w:trPr>
          <w:trHeight w:val="1327"/>
          <w:jc w:val="center"/>
        </w:trPr>
        <w:tc>
          <w:tcPr>
            <w:tcW w:w="1941" w:type="dxa"/>
            <w:tcBorders>
              <w:top w:val="nil"/>
              <w:left w:val="nil"/>
              <w:bottom w:val="nil"/>
              <w:right w:val="nil"/>
            </w:tcBorders>
            <w:shd w:val="clear" w:color="000000" w:fill="28557D"/>
            <w:vAlign w:val="center"/>
          </w:tcPr>
          <w:p w:rsidR="00BB28CB" w:rsidRPr="000C4446" w:rsidRDefault="00BB28CB" w:rsidP="00823754">
            <w:pPr>
              <w:rPr>
                <w:rFonts w:ascii="Arial" w:hAnsi="Arial" w:cs="Arial"/>
                <w:color w:val="FFFFFF"/>
                <w:sz w:val="20"/>
                <w:lang w:val="el-GR" w:eastAsia="el-GR"/>
              </w:rPr>
            </w:pPr>
            <w:r w:rsidRPr="000C4446">
              <w:rPr>
                <w:rFonts w:ascii="Arial" w:eastAsiaTheme="minorHAnsi" w:hAnsi="Arial" w:cs="Arial"/>
                <w:color w:val="FFFFFF" w:themeColor="background1"/>
                <w:sz w:val="20"/>
                <w:lang w:val="el-GR"/>
              </w:rPr>
              <w:t>Πηγές χρηματοδότησης</w:t>
            </w:r>
          </w:p>
        </w:tc>
        <w:tc>
          <w:tcPr>
            <w:tcW w:w="1170" w:type="dxa"/>
            <w:tcBorders>
              <w:top w:val="nil"/>
              <w:left w:val="nil"/>
              <w:bottom w:val="nil"/>
              <w:right w:val="nil"/>
            </w:tcBorders>
            <w:shd w:val="clear" w:color="000000" w:fill="28557D"/>
            <w:vAlign w:val="center"/>
            <w:hideMark/>
          </w:tcPr>
          <w:p w:rsidR="00BB28CB" w:rsidRPr="000C4446" w:rsidRDefault="00BB28CB" w:rsidP="00823754">
            <w:pPr>
              <w:jc w:val="right"/>
              <w:rPr>
                <w:rFonts w:ascii="Arial" w:hAnsi="Arial" w:cs="Arial"/>
                <w:color w:val="FFFFFF"/>
                <w:sz w:val="20"/>
                <w:lang w:val="el-GR" w:eastAsia="el-GR"/>
              </w:rPr>
            </w:pPr>
            <w:r w:rsidRPr="000C4446">
              <w:rPr>
                <w:rFonts w:ascii="Arial" w:hAnsi="Arial" w:cs="Arial"/>
                <w:color w:val="FFFFFF"/>
                <w:sz w:val="20"/>
                <w:lang w:val="el-GR" w:eastAsia="el-GR"/>
              </w:rPr>
              <w:t>2011</w:t>
            </w:r>
          </w:p>
        </w:tc>
        <w:tc>
          <w:tcPr>
            <w:tcW w:w="1170" w:type="dxa"/>
            <w:tcBorders>
              <w:top w:val="nil"/>
              <w:left w:val="nil"/>
              <w:bottom w:val="nil"/>
              <w:right w:val="nil"/>
            </w:tcBorders>
            <w:shd w:val="clear" w:color="000000" w:fill="28557D"/>
            <w:vAlign w:val="center"/>
            <w:hideMark/>
          </w:tcPr>
          <w:p w:rsidR="00BB28CB" w:rsidRPr="000C4446" w:rsidRDefault="00BB28CB" w:rsidP="00823754">
            <w:pPr>
              <w:jc w:val="right"/>
              <w:rPr>
                <w:rFonts w:ascii="Arial" w:hAnsi="Arial" w:cs="Arial"/>
                <w:color w:val="FFFFFF"/>
                <w:sz w:val="20"/>
                <w:lang w:val="el-GR" w:eastAsia="el-GR"/>
              </w:rPr>
            </w:pPr>
            <w:r w:rsidRPr="000C4446">
              <w:rPr>
                <w:rFonts w:ascii="Arial" w:hAnsi="Arial" w:cs="Arial"/>
                <w:color w:val="FFFFFF"/>
                <w:sz w:val="20"/>
                <w:lang w:val="el-GR" w:eastAsia="el-GR"/>
              </w:rPr>
              <w:t>2012</w:t>
            </w:r>
          </w:p>
        </w:tc>
        <w:tc>
          <w:tcPr>
            <w:tcW w:w="1170" w:type="dxa"/>
            <w:tcBorders>
              <w:top w:val="nil"/>
              <w:left w:val="nil"/>
              <w:bottom w:val="nil"/>
              <w:right w:val="nil"/>
            </w:tcBorders>
            <w:shd w:val="clear" w:color="000000" w:fill="28557D"/>
            <w:vAlign w:val="center"/>
            <w:hideMark/>
          </w:tcPr>
          <w:p w:rsidR="00BB28CB" w:rsidRPr="000C4446" w:rsidRDefault="00BB28CB" w:rsidP="00823754">
            <w:pPr>
              <w:jc w:val="right"/>
              <w:rPr>
                <w:rFonts w:ascii="Arial" w:hAnsi="Arial" w:cs="Arial"/>
                <w:color w:val="FFFFFF"/>
                <w:sz w:val="20"/>
                <w:lang w:val="el-GR" w:eastAsia="el-GR"/>
              </w:rPr>
            </w:pPr>
            <w:r w:rsidRPr="000C4446">
              <w:rPr>
                <w:rFonts w:ascii="Arial" w:hAnsi="Arial" w:cs="Arial"/>
                <w:color w:val="FFFFFF"/>
                <w:sz w:val="20"/>
                <w:lang w:val="el-GR" w:eastAsia="el-GR"/>
              </w:rPr>
              <w:t>2013</w:t>
            </w:r>
          </w:p>
        </w:tc>
        <w:tc>
          <w:tcPr>
            <w:tcW w:w="1170" w:type="dxa"/>
            <w:tcBorders>
              <w:top w:val="nil"/>
              <w:left w:val="nil"/>
              <w:bottom w:val="nil"/>
              <w:right w:val="nil"/>
            </w:tcBorders>
            <w:shd w:val="clear" w:color="000000" w:fill="28557D"/>
            <w:vAlign w:val="center"/>
            <w:hideMark/>
          </w:tcPr>
          <w:p w:rsidR="00BB28CB" w:rsidRPr="000C4446" w:rsidRDefault="00BB28CB" w:rsidP="00823754">
            <w:pPr>
              <w:jc w:val="right"/>
              <w:rPr>
                <w:rFonts w:ascii="Arial" w:hAnsi="Arial" w:cs="Arial"/>
                <w:color w:val="FFFFFF"/>
                <w:sz w:val="20"/>
                <w:lang w:val="el-GR" w:eastAsia="el-GR"/>
              </w:rPr>
            </w:pPr>
            <w:r w:rsidRPr="000C4446">
              <w:rPr>
                <w:rFonts w:ascii="Arial" w:hAnsi="Arial" w:cs="Arial"/>
                <w:color w:val="FFFFFF"/>
                <w:sz w:val="20"/>
                <w:lang w:val="el-GR" w:eastAsia="el-GR"/>
              </w:rPr>
              <w:t>2014</w:t>
            </w:r>
          </w:p>
        </w:tc>
        <w:tc>
          <w:tcPr>
            <w:tcW w:w="1170" w:type="dxa"/>
            <w:tcBorders>
              <w:top w:val="nil"/>
              <w:left w:val="nil"/>
              <w:bottom w:val="nil"/>
              <w:right w:val="nil"/>
            </w:tcBorders>
            <w:shd w:val="clear" w:color="000000" w:fill="28557D"/>
            <w:vAlign w:val="center"/>
            <w:hideMark/>
          </w:tcPr>
          <w:p w:rsidR="00BB28CB" w:rsidRPr="000C4446" w:rsidRDefault="00BB28CB" w:rsidP="00823754">
            <w:pPr>
              <w:jc w:val="right"/>
              <w:rPr>
                <w:rFonts w:ascii="Arial" w:hAnsi="Arial" w:cs="Arial"/>
                <w:color w:val="FFFFFF"/>
                <w:sz w:val="20"/>
                <w:lang w:val="el-GR" w:eastAsia="el-GR"/>
              </w:rPr>
            </w:pPr>
            <w:r w:rsidRPr="000C4446">
              <w:rPr>
                <w:rFonts w:ascii="Arial" w:hAnsi="Arial" w:cs="Arial"/>
                <w:color w:val="FFFFFF"/>
                <w:sz w:val="20"/>
                <w:lang w:val="el-GR" w:eastAsia="el-GR"/>
              </w:rPr>
              <w:t>2015</w:t>
            </w:r>
          </w:p>
        </w:tc>
        <w:tc>
          <w:tcPr>
            <w:tcW w:w="1170" w:type="dxa"/>
            <w:tcBorders>
              <w:top w:val="nil"/>
              <w:left w:val="nil"/>
              <w:bottom w:val="nil"/>
              <w:right w:val="nil"/>
            </w:tcBorders>
            <w:shd w:val="clear" w:color="000000" w:fill="28557D"/>
            <w:vAlign w:val="center"/>
          </w:tcPr>
          <w:p w:rsidR="00BB28CB" w:rsidRPr="000C4446" w:rsidRDefault="00BB28CB" w:rsidP="00823754">
            <w:pPr>
              <w:jc w:val="right"/>
              <w:rPr>
                <w:rFonts w:ascii="Arial" w:hAnsi="Arial" w:cs="Arial"/>
                <w:color w:val="FFFFFF"/>
                <w:sz w:val="20"/>
                <w:lang w:val="el-GR" w:eastAsia="el-GR"/>
              </w:rPr>
            </w:pPr>
            <w:r w:rsidRPr="000C4446">
              <w:rPr>
                <w:rFonts w:ascii="Arial" w:hAnsi="Arial" w:cs="Arial"/>
                <w:color w:val="FFFFFF"/>
                <w:sz w:val="20"/>
                <w:lang w:val="el-GR" w:eastAsia="el-GR"/>
              </w:rPr>
              <w:t>2016</w:t>
            </w:r>
          </w:p>
        </w:tc>
        <w:tc>
          <w:tcPr>
            <w:tcW w:w="1170" w:type="dxa"/>
            <w:tcBorders>
              <w:top w:val="nil"/>
              <w:left w:val="nil"/>
              <w:bottom w:val="nil"/>
              <w:right w:val="nil"/>
            </w:tcBorders>
            <w:shd w:val="clear" w:color="000000" w:fill="28557D"/>
            <w:vAlign w:val="center"/>
          </w:tcPr>
          <w:p w:rsidR="00BB28CB" w:rsidRPr="000C4446" w:rsidRDefault="00BB28CB" w:rsidP="00823754">
            <w:pPr>
              <w:jc w:val="right"/>
              <w:rPr>
                <w:rFonts w:ascii="Arial" w:hAnsi="Arial" w:cs="Arial"/>
                <w:color w:val="FFFFFF"/>
                <w:sz w:val="20"/>
                <w:lang w:val="el-GR" w:eastAsia="el-GR"/>
              </w:rPr>
            </w:pPr>
            <w:r w:rsidRPr="000C4446">
              <w:rPr>
                <w:rFonts w:ascii="Arial" w:hAnsi="Arial" w:cs="Arial"/>
                <w:color w:val="FFFFFF"/>
                <w:sz w:val="20"/>
                <w:lang w:val="el-GR" w:eastAsia="el-GR"/>
              </w:rPr>
              <w:t>2017</w:t>
            </w:r>
          </w:p>
        </w:tc>
      </w:tr>
      <w:tr w:rsidR="00BB28CB" w:rsidRPr="000C4446" w:rsidTr="00823754">
        <w:trPr>
          <w:trHeight w:hRule="exact" w:val="525"/>
          <w:jc w:val="center"/>
        </w:trPr>
        <w:tc>
          <w:tcPr>
            <w:tcW w:w="1941" w:type="dxa"/>
            <w:shd w:val="clear" w:color="auto" w:fill="F0F2F4"/>
            <w:vAlign w:val="center"/>
            <w:hideMark/>
          </w:tcPr>
          <w:p w:rsidR="00BB28CB" w:rsidRPr="000C4446" w:rsidRDefault="00BB28CB" w:rsidP="00823754">
            <w:pPr>
              <w:rPr>
                <w:rFonts w:ascii="Arial" w:eastAsiaTheme="minorHAnsi" w:hAnsi="Arial" w:cs="Arial"/>
                <w:sz w:val="18"/>
                <w:szCs w:val="18"/>
                <w:lang w:val="el-GR"/>
              </w:rPr>
            </w:pPr>
            <w:r w:rsidRPr="000C4446">
              <w:rPr>
                <w:rFonts w:ascii="Arial" w:eastAsiaTheme="minorHAnsi" w:hAnsi="Arial" w:cs="Arial"/>
                <w:sz w:val="18"/>
                <w:szCs w:val="18"/>
                <w:lang w:val="el-GR"/>
              </w:rPr>
              <w:t>Επιχειρήσεις</w:t>
            </w:r>
          </w:p>
        </w:tc>
        <w:tc>
          <w:tcPr>
            <w:tcW w:w="1170" w:type="dxa"/>
            <w:tcBorders>
              <w:top w:val="nil"/>
              <w:left w:val="nil"/>
              <w:bottom w:val="nil"/>
              <w:right w:val="nil"/>
            </w:tcBorders>
            <w:shd w:val="clear" w:color="000000" w:fill="F0F2F4"/>
            <w:vAlign w:val="center"/>
            <w:hideMark/>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455,5</w:t>
            </w:r>
          </w:p>
        </w:tc>
        <w:tc>
          <w:tcPr>
            <w:tcW w:w="1170" w:type="dxa"/>
            <w:tcBorders>
              <w:top w:val="nil"/>
              <w:left w:val="nil"/>
              <w:bottom w:val="nil"/>
              <w:right w:val="nil"/>
            </w:tcBorders>
            <w:shd w:val="clear" w:color="000000" w:fill="F0F2F4"/>
            <w:vAlign w:val="center"/>
            <w:hideMark/>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414,8</w:t>
            </w:r>
          </w:p>
        </w:tc>
        <w:tc>
          <w:tcPr>
            <w:tcW w:w="1170" w:type="dxa"/>
            <w:tcBorders>
              <w:top w:val="nil"/>
              <w:left w:val="nil"/>
              <w:bottom w:val="nil"/>
              <w:right w:val="nil"/>
            </w:tcBorders>
            <w:shd w:val="clear" w:color="000000" w:fill="F0F2F4"/>
            <w:vAlign w:val="center"/>
            <w:hideMark/>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443,9</w:t>
            </w:r>
          </w:p>
        </w:tc>
        <w:tc>
          <w:tcPr>
            <w:tcW w:w="1170" w:type="dxa"/>
            <w:tcBorders>
              <w:top w:val="nil"/>
              <w:left w:val="nil"/>
              <w:bottom w:val="nil"/>
              <w:right w:val="nil"/>
            </w:tcBorders>
            <w:shd w:val="clear" w:color="000000" w:fill="F0F2F4"/>
            <w:vAlign w:val="center"/>
            <w:hideMark/>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444,3</w:t>
            </w:r>
          </w:p>
        </w:tc>
        <w:tc>
          <w:tcPr>
            <w:tcW w:w="1170" w:type="dxa"/>
            <w:tcBorders>
              <w:top w:val="nil"/>
              <w:left w:val="nil"/>
              <w:bottom w:val="nil"/>
              <w:right w:val="nil"/>
            </w:tcBorders>
            <w:shd w:val="clear" w:color="000000" w:fill="F0F2F4"/>
            <w:vAlign w:val="center"/>
            <w:hideMark/>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535,0</w:t>
            </w:r>
          </w:p>
        </w:tc>
        <w:tc>
          <w:tcPr>
            <w:tcW w:w="1170" w:type="dxa"/>
            <w:tcBorders>
              <w:top w:val="nil"/>
              <w:left w:val="nil"/>
              <w:bottom w:val="nil"/>
              <w:right w:val="nil"/>
            </w:tcBorders>
            <w:shd w:val="clear" w:color="000000" w:fill="F0F2F4"/>
            <w:vAlign w:val="center"/>
          </w:tcPr>
          <w:p w:rsidR="00BB28CB" w:rsidRPr="000C4446" w:rsidRDefault="00BB28CB" w:rsidP="00823754">
            <w:pPr>
              <w:spacing w:line="259" w:lineRule="auto"/>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705,5</w:t>
            </w:r>
          </w:p>
        </w:tc>
        <w:tc>
          <w:tcPr>
            <w:tcW w:w="1170" w:type="dxa"/>
            <w:tcBorders>
              <w:top w:val="nil"/>
              <w:left w:val="nil"/>
              <w:bottom w:val="nil"/>
              <w:right w:val="nil"/>
            </w:tcBorders>
            <w:shd w:val="clear" w:color="000000" w:fill="F0F2F4"/>
            <w:vAlign w:val="center"/>
          </w:tcPr>
          <w:p w:rsidR="00BB28CB" w:rsidRPr="000C4446" w:rsidRDefault="00BB28CB" w:rsidP="00823754">
            <w:pPr>
              <w:spacing w:line="259" w:lineRule="auto"/>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910,6</w:t>
            </w:r>
          </w:p>
        </w:tc>
      </w:tr>
      <w:tr w:rsidR="00BB28CB" w:rsidRPr="000C4446" w:rsidTr="00823754">
        <w:trPr>
          <w:trHeight w:hRule="exact" w:val="525"/>
          <w:jc w:val="center"/>
        </w:trPr>
        <w:tc>
          <w:tcPr>
            <w:tcW w:w="1941" w:type="dxa"/>
            <w:shd w:val="clear" w:color="auto" w:fill="F0F2F4"/>
            <w:vAlign w:val="center"/>
            <w:hideMark/>
          </w:tcPr>
          <w:p w:rsidR="00BB28CB" w:rsidRPr="000C4446" w:rsidRDefault="00BB28CB" w:rsidP="00823754">
            <w:pPr>
              <w:rPr>
                <w:rFonts w:ascii="Arial" w:eastAsiaTheme="minorHAnsi" w:hAnsi="Arial" w:cs="Arial"/>
                <w:sz w:val="18"/>
                <w:szCs w:val="18"/>
                <w:lang w:val="el-GR"/>
              </w:rPr>
            </w:pPr>
            <w:r w:rsidRPr="000C4446">
              <w:rPr>
                <w:rFonts w:ascii="Arial" w:eastAsiaTheme="minorHAnsi" w:hAnsi="Arial" w:cs="Arial"/>
                <w:sz w:val="18"/>
                <w:szCs w:val="18"/>
                <w:lang w:val="el-GR"/>
              </w:rPr>
              <w:t>Κράτος</w:t>
            </w:r>
          </w:p>
        </w:tc>
        <w:tc>
          <w:tcPr>
            <w:tcW w:w="1170" w:type="dxa"/>
            <w:tcBorders>
              <w:top w:val="nil"/>
              <w:left w:val="nil"/>
              <w:bottom w:val="nil"/>
              <w:right w:val="nil"/>
            </w:tcBorders>
            <w:shd w:val="clear" w:color="000000" w:fill="F0F2F4"/>
            <w:vAlign w:val="center"/>
            <w:hideMark/>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684,9</w:t>
            </w:r>
          </w:p>
        </w:tc>
        <w:tc>
          <w:tcPr>
            <w:tcW w:w="1170" w:type="dxa"/>
            <w:tcBorders>
              <w:top w:val="nil"/>
              <w:left w:val="nil"/>
              <w:bottom w:val="nil"/>
              <w:right w:val="nil"/>
            </w:tcBorders>
            <w:shd w:val="clear" w:color="000000" w:fill="F0F2F4"/>
            <w:vAlign w:val="center"/>
            <w:hideMark/>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673,6</w:t>
            </w:r>
          </w:p>
        </w:tc>
        <w:tc>
          <w:tcPr>
            <w:tcW w:w="1170" w:type="dxa"/>
            <w:tcBorders>
              <w:top w:val="nil"/>
              <w:left w:val="nil"/>
              <w:bottom w:val="nil"/>
              <w:right w:val="nil"/>
            </w:tcBorders>
            <w:shd w:val="clear" w:color="000000" w:fill="F0F2F4"/>
            <w:vAlign w:val="center"/>
            <w:hideMark/>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766,1</w:t>
            </w:r>
          </w:p>
        </w:tc>
        <w:tc>
          <w:tcPr>
            <w:tcW w:w="1170" w:type="dxa"/>
            <w:tcBorders>
              <w:top w:val="nil"/>
              <w:left w:val="nil"/>
              <w:bottom w:val="nil"/>
              <w:right w:val="nil"/>
            </w:tcBorders>
            <w:shd w:val="clear" w:color="000000" w:fill="F0F2F4"/>
            <w:vAlign w:val="center"/>
            <w:hideMark/>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793,2</w:t>
            </w:r>
          </w:p>
        </w:tc>
        <w:tc>
          <w:tcPr>
            <w:tcW w:w="1170" w:type="dxa"/>
            <w:tcBorders>
              <w:top w:val="nil"/>
              <w:left w:val="nil"/>
              <w:bottom w:val="nil"/>
              <w:right w:val="nil"/>
            </w:tcBorders>
            <w:shd w:val="clear" w:color="000000" w:fill="F0F2F4"/>
            <w:vAlign w:val="center"/>
            <w:hideMark/>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904,0</w:t>
            </w:r>
          </w:p>
        </w:tc>
        <w:tc>
          <w:tcPr>
            <w:tcW w:w="1170" w:type="dxa"/>
            <w:tcBorders>
              <w:top w:val="nil"/>
              <w:left w:val="nil"/>
              <w:bottom w:val="nil"/>
              <w:right w:val="nil"/>
            </w:tcBorders>
            <w:shd w:val="clear" w:color="000000" w:fill="F0F2F4"/>
            <w:vAlign w:val="center"/>
          </w:tcPr>
          <w:p w:rsidR="00BB28CB" w:rsidRPr="000C4446" w:rsidRDefault="00BB28CB" w:rsidP="00823754">
            <w:pPr>
              <w:spacing w:line="259" w:lineRule="auto"/>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746,8</w:t>
            </w:r>
          </w:p>
        </w:tc>
        <w:tc>
          <w:tcPr>
            <w:tcW w:w="1170" w:type="dxa"/>
            <w:tcBorders>
              <w:top w:val="nil"/>
              <w:left w:val="nil"/>
              <w:bottom w:val="nil"/>
              <w:right w:val="nil"/>
            </w:tcBorders>
            <w:shd w:val="clear" w:color="000000" w:fill="F0F2F4"/>
            <w:vAlign w:val="center"/>
          </w:tcPr>
          <w:p w:rsidR="00BB28CB" w:rsidRPr="000C4446" w:rsidRDefault="00BB28CB" w:rsidP="00823754">
            <w:pPr>
              <w:spacing w:line="259" w:lineRule="auto"/>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772,7</w:t>
            </w:r>
          </w:p>
        </w:tc>
      </w:tr>
      <w:tr w:rsidR="00BB28CB" w:rsidRPr="000C4446" w:rsidTr="00823754">
        <w:trPr>
          <w:trHeight w:hRule="exact" w:val="525"/>
          <w:jc w:val="center"/>
        </w:trPr>
        <w:tc>
          <w:tcPr>
            <w:tcW w:w="1941" w:type="dxa"/>
            <w:shd w:val="clear" w:color="auto" w:fill="FFFFFF" w:themeFill="background1"/>
            <w:vAlign w:val="center"/>
          </w:tcPr>
          <w:p w:rsidR="00BB28CB" w:rsidRPr="000C4446" w:rsidRDefault="00BB28CB" w:rsidP="00823754">
            <w:pPr>
              <w:ind w:left="119"/>
              <w:rPr>
                <w:rFonts w:ascii="Arial" w:eastAsiaTheme="minorHAnsi" w:hAnsi="Arial" w:cs="Arial"/>
                <w:sz w:val="15"/>
                <w:szCs w:val="15"/>
                <w:lang w:val="el-GR"/>
              </w:rPr>
            </w:pPr>
            <w:r w:rsidRPr="000C4446">
              <w:rPr>
                <w:rFonts w:ascii="Arial" w:eastAsiaTheme="minorHAnsi" w:hAnsi="Arial" w:cs="Arial"/>
                <w:sz w:val="15"/>
                <w:szCs w:val="15"/>
                <w:lang w:val="el-GR"/>
              </w:rPr>
              <w:t>Κράτος: Τακτικός ΠΥ</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504,4</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481,2</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411,3</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407,9</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442,7</w:t>
            </w:r>
          </w:p>
        </w:tc>
        <w:tc>
          <w:tcPr>
            <w:tcW w:w="1170" w:type="dxa"/>
            <w:tcBorders>
              <w:top w:val="nil"/>
              <w:left w:val="nil"/>
              <w:bottom w:val="nil"/>
              <w:right w:val="nil"/>
            </w:tcBorders>
            <w:shd w:val="clear" w:color="000000" w:fill="FFFFFF"/>
            <w:vAlign w:val="center"/>
          </w:tcPr>
          <w:p w:rsidR="00BB28CB" w:rsidRPr="000C4446" w:rsidRDefault="00BB28CB" w:rsidP="00823754">
            <w:pPr>
              <w:spacing w:line="259" w:lineRule="auto"/>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547,5</w:t>
            </w:r>
          </w:p>
        </w:tc>
        <w:tc>
          <w:tcPr>
            <w:tcW w:w="1170" w:type="dxa"/>
            <w:tcBorders>
              <w:top w:val="nil"/>
              <w:left w:val="nil"/>
              <w:bottom w:val="nil"/>
              <w:right w:val="nil"/>
            </w:tcBorders>
            <w:shd w:val="clear" w:color="000000" w:fill="FFFFFF"/>
            <w:vAlign w:val="center"/>
          </w:tcPr>
          <w:p w:rsidR="00BB28CB" w:rsidRPr="000C4446" w:rsidRDefault="00BB28CB" w:rsidP="00823754">
            <w:pPr>
              <w:spacing w:line="259" w:lineRule="auto"/>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591,4</w:t>
            </w:r>
          </w:p>
        </w:tc>
      </w:tr>
      <w:tr w:rsidR="00BB28CB" w:rsidRPr="000C4446" w:rsidTr="00823754">
        <w:trPr>
          <w:trHeight w:hRule="exact" w:val="525"/>
          <w:jc w:val="center"/>
        </w:trPr>
        <w:tc>
          <w:tcPr>
            <w:tcW w:w="1941" w:type="dxa"/>
            <w:shd w:val="clear" w:color="auto" w:fill="FFFFFF" w:themeFill="background1"/>
            <w:vAlign w:val="center"/>
          </w:tcPr>
          <w:p w:rsidR="00BB28CB" w:rsidRPr="000C4446" w:rsidRDefault="00BB28CB" w:rsidP="00823754">
            <w:pPr>
              <w:ind w:left="119"/>
              <w:rPr>
                <w:rFonts w:ascii="Arial" w:eastAsiaTheme="minorHAnsi" w:hAnsi="Arial" w:cs="Arial"/>
                <w:sz w:val="15"/>
                <w:szCs w:val="15"/>
                <w:lang w:val="el-GR"/>
              </w:rPr>
            </w:pPr>
            <w:r w:rsidRPr="000C4446">
              <w:rPr>
                <w:rFonts w:ascii="Arial" w:eastAsiaTheme="minorHAnsi" w:hAnsi="Arial" w:cs="Arial"/>
                <w:sz w:val="15"/>
                <w:szCs w:val="15"/>
                <w:lang w:val="el-GR"/>
              </w:rPr>
              <w:t>Κράτος: ΕΣΠΑ</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124,7</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137,8</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296,5</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308,1</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388,1</w:t>
            </w:r>
          </w:p>
        </w:tc>
        <w:tc>
          <w:tcPr>
            <w:tcW w:w="1170" w:type="dxa"/>
            <w:tcBorders>
              <w:top w:val="nil"/>
              <w:left w:val="nil"/>
              <w:bottom w:val="nil"/>
              <w:right w:val="nil"/>
            </w:tcBorders>
            <w:shd w:val="clear" w:color="000000" w:fill="FFFFFF"/>
            <w:vAlign w:val="center"/>
          </w:tcPr>
          <w:p w:rsidR="00BB28CB" w:rsidRPr="000C4446" w:rsidRDefault="00BB28CB" w:rsidP="00823754">
            <w:pPr>
              <w:spacing w:line="259" w:lineRule="auto"/>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101,6</w:t>
            </w:r>
          </w:p>
        </w:tc>
        <w:tc>
          <w:tcPr>
            <w:tcW w:w="1170" w:type="dxa"/>
            <w:tcBorders>
              <w:top w:val="nil"/>
              <w:left w:val="nil"/>
              <w:bottom w:val="nil"/>
              <w:right w:val="nil"/>
            </w:tcBorders>
            <w:shd w:val="clear" w:color="000000" w:fill="FFFFFF"/>
            <w:vAlign w:val="center"/>
          </w:tcPr>
          <w:p w:rsidR="00BB28CB" w:rsidRPr="000C4446" w:rsidRDefault="00BB28CB" w:rsidP="00823754">
            <w:pPr>
              <w:spacing w:line="259" w:lineRule="auto"/>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80,2</w:t>
            </w:r>
          </w:p>
        </w:tc>
      </w:tr>
      <w:tr w:rsidR="00BB28CB" w:rsidRPr="000C4446" w:rsidTr="00823754">
        <w:trPr>
          <w:trHeight w:hRule="exact" w:val="525"/>
          <w:jc w:val="center"/>
        </w:trPr>
        <w:tc>
          <w:tcPr>
            <w:tcW w:w="1941" w:type="dxa"/>
            <w:shd w:val="clear" w:color="auto" w:fill="FFFFFF" w:themeFill="background1"/>
            <w:vAlign w:val="center"/>
          </w:tcPr>
          <w:p w:rsidR="00BB28CB" w:rsidRPr="000C4446" w:rsidRDefault="00BB28CB" w:rsidP="00823754">
            <w:pPr>
              <w:ind w:left="119"/>
              <w:rPr>
                <w:rFonts w:ascii="Arial" w:eastAsiaTheme="minorHAnsi" w:hAnsi="Arial" w:cs="Arial"/>
                <w:sz w:val="15"/>
                <w:szCs w:val="15"/>
                <w:lang w:val="el-GR"/>
              </w:rPr>
            </w:pPr>
            <w:r w:rsidRPr="000C4446">
              <w:rPr>
                <w:rFonts w:ascii="Arial" w:eastAsiaTheme="minorHAnsi" w:hAnsi="Arial" w:cs="Arial"/>
                <w:sz w:val="15"/>
                <w:szCs w:val="15"/>
                <w:lang w:val="el-GR"/>
              </w:rPr>
              <w:t xml:space="preserve">Κράτος: λοιπές πηγές </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55,7</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54,6</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58,3</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77,2</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73,2</w:t>
            </w:r>
          </w:p>
        </w:tc>
        <w:tc>
          <w:tcPr>
            <w:tcW w:w="1170" w:type="dxa"/>
            <w:tcBorders>
              <w:top w:val="nil"/>
              <w:left w:val="nil"/>
              <w:bottom w:val="nil"/>
              <w:right w:val="nil"/>
            </w:tcBorders>
            <w:shd w:val="clear" w:color="000000" w:fill="FFFFFF"/>
            <w:vAlign w:val="center"/>
          </w:tcPr>
          <w:p w:rsidR="00BB28CB" w:rsidRPr="000C4446" w:rsidRDefault="00BB28CB" w:rsidP="00823754">
            <w:pPr>
              <w:spacing w:line="259" w:lineRule="auto"/>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97,6</w:t>
            </w:r>
          </w:p>
        </w:tc>
        <w:tc>
          <w:tcPr>
            <w:tcW w:w="1170" w:type="dxa"/>
            <w:tcBorders>
              <w:top w:val="nil"/>
              <w:left w:val="nil"/>
              <w:bottom w:val="nil"/>
              <w:right w:val="nil"/>
            </w:tcBorders>
            <w:shd w:val="clear" w:color="000000" w:fill="FFFFFF"/>
            <w:vAlign w:val="center"/>
          </w:tcPr>
          <w:p w:rsidR="00BB28CB" w:rsidRPr="000C4446" w:rsidRDefault="00BB28CB" w:rsidP="00823754">
            <w:pPr>
              <w:spacing w:line="259" w:lineRule="auto"/>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101,1</w:t>
            </w:r>
          </w:p>
        </w:tc>
      </w:tr>
      <w:tr w:rsidR="00BB28CB" w:rsidRPr="000C4446" w:rsidTr="00823754">
        <w:trPr>
          <w:trHeight w:hRule="exact" w:val="525"/>
          <w:jc w:val="center"/>
        </w:trPr>
        <w:tc>
          <w:tcPr>
            <w:tcW w:w="1941" w:type="dxa"/>
            <w:shd w:val="clear" w:color="auto" w:fill="F0F2F4"/>
            <w:vAlign w:val="center"/>
          </w:tcPr>
          <w:p w:rsidR="00BB28CB" w:rsidRPr="000C4446" w:rsidRDefault="00BB28CB" w:rsidP="00823754">
            <w:pPr>
              <w:rPr>
                <w:rFonts w:ascii="Arial" w:eastAsiaTheme="minorHAnsi" w:hAnsi="Arial" w:cs="Arial"/>
                <w:sz w:val="18"/>
                <w:szCs w:val="18"/>
                <w:lang w:val="el-GR"/>
              </w:rPr>
            </w:pPr>
            <w:r w:rsidRPr="000C4446">
              <w:rPr>
                <w:rFonts w:ascii="Arial" w:eastAsiaTheme="minorHAnsi" w:hAnsi="Arial" w:cs="Arial"/>
                <w:sz w:val="18"/>
                <w:szCs w:val="18"/>
                <w:lang w:val="el-GR"/>
              </w:rPr>
              <w:t>Φορείς του τομέα HES</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31,6</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26,2</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38,1</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41,6</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42,0</w:t>
            </w:r>
          </w:p>
        </w:tc>
        <w:tc>
          <w:tcPr>
            <w:tcW w:w="1170" w:type="dxa"/>
            <w:tcBorders>
              <w:top w:val="nil"/>
              <w:left w:val="nil"/>
              <w:bottom w:val="nil"/>
              <w:right w:val="nil"/>
            </w:tcBorders>
            <w:shd w:val="clear" w:color="000000" w:fill="F0F2F4"/>
            <w:vAlign w:val="center"/>
          </w:tcPr>
          <w:p w:rsidR="00BB28CB" w:rsidRPr="000C4446" w:rsidRDefault="00BB28CB" w:rsidP="00823754">
            <w:pPr>
              <w:spacing w:line="259" w:lineRule="auto"/>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39,5</w:t>
            </w:r>
          </w:p>
        </w:tc>
        <w:tc>
          <w:tcPr>
            <w:tcW w:w="1170" w:type="dxa"/>
            <w:tcBorders>
              <w:top w:val="nil"/>
              <w:left w:val="nil"/>
              <w:bottom w:val="nil"/>
              <w:right w:val="nil"/>
            </w:tcBorders>
            <w:shd w:val="clear" w:color="000000" w:fill="F0F2F4"/>
            <w:vAlign w:val="center"/>
          </w:tcPr>
          <w:p w:rsidR="00BB28CB" w:rsidRPr="000C4446" w:rsidRDefault="00BB28CB" w:rsidP="00823754">
            <w:pPr>
              <w:spacing w:line="259" w:lineRule="auto"/>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44,1</w:t>
            </w:r>
          </w:p>
        </w:tc>
      </w:tr>
      <w:tr w:rsidR="00BB28CB" w:rsidRPr="000C4446" w:rsidTr="00823754">
        <w:trPr>
          <w:trHeight w:hRule="exact" w:val="525"/>
          <w:jc w:val="center"/>
        </w:trPr>
        <w:tc>
          <w:tcPr>
            <w:tcW w:w="1941" w:type="dxa"/>
            <w:shd w:val="clear" w:color="auto" w:fill="F0F2F4"/>
            <w:vAlign w:val="center"/>
          </w:tcPr>
          <w:p w:rsidR="00BB28CB" w:rsidRPr="000C4446" w:rsidRDefault="00BB28CB" w:rsidP="00823754">
            <w:pPr>
              <w:rPr>
                <w:rFonts w:ascii="Arial" w:eastAsiaTheme="minorHAnsi" w:hAnsi="Arial" w:cs="Arial"/>
                <w:sz w:val="18"/>
                <w:szCs w:val="18"/>
                <w:lang w:val="el-GR"/>
              </w:rPr>
            </w:pPr>
            <w:r w:rsidRPr="000C4446">
              <w:rPr>
                <w:rFonts w:ascii="Arial" w:eastAsiaTheme="minorHAnsi" w:hAnsi="Arial" w:cs="Arial"/>
                <w:sz w:val="18"/>
                <w:szCs w:val="18"/>
                <w:lang w:val="el-GR"/>
              </w:rPr>
              <w:t>Φορείς του τομέα PNP</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13,9</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12,1</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12,6</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12,9</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7,1</w:t>
            </w:r>
          </w:p>
        </w:tc>
        <w:tc>
          <w:tcPr>
            <w:tcW w:w="1170" w:type="dxa"/>
            <w:tcBorders>
              <w:top w:val="nil"/>
              <w:left w:val="nil"/>
              <w:bottom w:val="nil"/>
              <w:right w:val="nil"/>
            </w:tcBorders>
            <w:shd w:val="clear" w:color="000000" w:fill="F0F2F4"/>
            <w:vAlign w:val="center"/>
          </w:tcPr>
          <w:p w:rsidR="00BB28CB" w:rsidRPr="000C4446" w:rsidRDefault="00BB28CB" w:rsidP="00823754">
            <w:pPr>
              <w:spacing w:line="259" w:lineRule="auto"/>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7,1</w:t>
            </w:r>
          </w:p>
        </w:tc>
        <w:tc>
          <w:tcPr>
            <w:tcW w:w="1170" w:type="dxa"/>
            <w:tcBorders>
              <w:top w:val="nil"/>
              <w:left w:val="nil"/>
              <w:bottom w:val="nil"/>
              <w:right w:val="nil"/>
            </w:tcBorders>
            <w:shd w:val="clear" w:color="000000" w:fill="F0F2F4"/>
            <w:vAlign w:val="center"/>
          </w:tcPr>
          <w:p w:rsidR="00BB28CB" w:rsidRPr="000C4446" w:rsidRDefault="00BB28CB" w:rsidP="00823754">
            <w:pPr>
              <w:spacing w:line="259" w:lineRule="auto"/>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9,5</w:t>
            </w:r>
          </w:p>
        </w:tc>
      </w:tr>
      <w:tr w:rsidR="00BB28CB" w:rsidRPr="000C4446" w:rsidTr="00823754">
        <w:trPr>
          <w:trHeight w:hRule="exact" w:val="525"/>
          <w:jc w:val="center"/>
        </w:trPr>
        <w:tc>
          <w:tcPr>
            <w:tcW w:w="1941" w:type="dxa"/>
            <w:shd w:val="clear" w:color="auto" w:fill="F0F2F4"/>
            <w:vAlign w:val="center"/>
          </w:tcPr>
          <w:p w:rsidR="00BB28CB" w:rsidRPr="000C4446" w:rsidRDefault="00BB28CB" w:rsidP="00823754">
            <w:pPr>
              <w:rPr>
                <w:rFonts w:ascii="Arial" w:eastAsiaTheme="minorHAnsi" w:hAnsi="Arial" w:cs="Arial"/>
                <w:sz w:val="18"/>
                <w:szCs w:val="18"/>
                <w:lang w:val="el-GR"/>
              </w:rPr>
            </w:pPr>
            <w:r w:rsidRPr="000C4446">
              <w:rPr>
                <w:rFonts w:ascii="Arial" w:eastAsiaTheme="minorHAnsi" w:hAnsi="Arial" w:cs="Arial"/>
                <w:sz w:val="18"/>
                <w:szCs w:val="18"/>
                <w:lang w:val="el-GR"/>
              </w:rPr>
              <w:t xml:space="preserve">Εξωτερικό </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205,2</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210,9</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204,9</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196,8</w:t>
            </w:r>
          </w:p>
        </w:tc>
        <w:tc>
          <w:tcPr>
            <w:tcW w:w="1170" w:type="dxa"/>
            <w:tcBorders>
              <w:top w:val="nil"/>
              <w:left w:val="nil"/>
              <w:bottom w:val="nil"/>
              <w:right w:val="nil"/>
            </w:tcBorders>
            <w:shd w:val="clear" w:color="000000" w:fill="F0F2F4"/>
            <w:vAlign w:val="center"/>
          </w:tcPr>
          <w:p w:rsidR="00BB28CB" w:rsidRPr="000C4446" w:rsidRDefault="00BB28CB" w:rsidP="00823754">
            <w:pPr>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215,7</w:t>
            </w:r>
          </w:p>
        </w:tc>
        <w:tc>
          <w:tcPr>
            <w:tcW w:w="1170" w:type="dxa"/>
            <w:tcBorders>
              <w:top w:val="nil"/>
              <w:left w:val="nil"/>
              <w:bottom w:val="nil"/>
              <w:right w:val="nil"/>
            </w:tcBorders>
            <w:shd w:val="clear" w:color="000000" w:fill="F0F2F4"/>
            <w:vAlign w:val="center"/>
          </w:tcPr>
          <w:p w:rsidR="00BB28CB" w:rsidRPr="000C4446" w:rsidRDefault="00BB28CB" w:rsidP="00823754">
            <w:pPr>
              <w:spacing w:line="259" w:lineRule="auto"/>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255,3</w:t>
            </w:r>
          </w:p>
        </w:tc>
        <w:tc>
          <w:tcPr>
            <w:tcW w:w="1170" w:type="dxa"/>
            <w:tcBorders>
              <w:top w:val="nil"/>
              <w:left w:val="nil"/>
              <w:bottom w:val="nil"/>
              <w:right w:val="nil"/>
            </w:tcBorders>
            <w:shd w:val="clear" w:color="000000" w:fill="F0F2F4"/>
            <w:vAlign w:val="center"/>
          </w:tcPr>
          <w:p w:rsidR="00BB28CB" w:rsidRPr="000C4446" w:rsidRDefault="00BB28CB" w:rsidP="00823754">
            <w:pPr>
              <w:spacing w:line="259" w:lineRule="auto"/>
              <w:jc w:val="right"/>
              <w:rPr>
                <w:rFonts w:ascii="Arial" w:eastAsiaTheme="minorHAnsi" w:hAnsi="Arial" w:cs="Arial"/>
                <w:color w:val="000000"/>
                <w:sz w:val="18"/>
                <w:szCs w:val="18"/>
                <w:lang w:val="el-GR"/>
              </w:rPr>
            </w:pPr>
            <w:r w:rsidRPr="000C4446">
              <w:rPr>
                <w:rFonts w:ascii="Arial" w:eastAsiaTheme="minorHAnsi" w:hAnsi="Arial" w:cs="Arial"/>
                <w:color w:val="000000"/>
                <w:sz w:val="18"/>
                <w:szCs w:val="18"/>
                <w:lang w:val="el-GR"/>
              </w:rPr>
              <w:t>296,1</w:t>
            </w:r>
          </w:p>
        </w:tc>
      </w:tr>
      <w:tr w:rsidR="00BB28CB" w:rsidRPr="000C4446" w:rsidTr="00823754">
        <w:trPr>
          <w:trHeight w:hRule="exact" w:val="525"/>
          <w:jc w:val="center"/>
        </w:trPr>
        <w:tc>
          <w:tcPr>
            <w:tcW w:w="1941" w:type="dxa"/>
            <w:shd w:val="clear" w:color="auto" w:fill="FFFFFF" w:themeFill="background1"/>
            <w:vAlign w:val="center"/>
          </w:tcPr>
          <w:p w:rsidR="00BB28CB" w:rsidRPr="000C4446" w:rsidRDefault="00BB28CB" w:rsidP="00823754">
            <w:pPr>
              <w:ind w:left="119"/>
              <w:rPr>
                <w:rFonts w:ascii="Arial" w:eastAsiaTheme="minorHAnsi" w:hAnsi="Arial" w:cs="Arial"/>
                <w:sz w:val="15"/>
                <w:szCs w:val="15"/>
                <w:lang w:val="el-GR"/>
              </w:rPr>
            </w:pPr>
            <w:r w:rsidRPr="000C4446">
              <w:rPr>
                <w:rFonts w:ascii="Arial" w:eastAsiaTheme="minorHAnsi" w:hAnsi="Arial" w:cs="Arial"/>
                <w:sz w:val="15"/>
                <w:szCs w:val="15"/>
                <w:lang w:val="el-GR"/>
              </w:rPr>
              <w:t>ΕΕ</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165,2</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164,6</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167,4</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155,7</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171,0</w:t>
            </w:r>
          </w:p>
        </w:tc>
        <w:tc>
          <w:tcPr>
            <w:tcW w:w="1170" w:type="dxa"/>
            <w:tcBorders>
              <w:top w:val="nil"/>
              <w:left w:val="nil"/>
              <w:bottom w:val="nil"/>
              <w:right w:val="nil"/>
            </w:tcBorders>
            <w:shd w:val="clear" w:color="000000" w:fill="FFFFFF"/>
            <w:vAlign w:val="center"/>
          </w:tcPr>
          <w:p w:rsidR="00BB28CB" w:rsidRPr="000C4446" w:rsidRDefault="00BB28CB" w:rsidP="00823754">
            <w:pPr>
              <w:spacing w:line="259" w:lineRule="auto"/>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208,5</w:t>
            </w:r>
          </w:p>
        </w:tc>
        <w:tc>
          <w:tcPr>
            <w:tcW w:w="1170" w:type="dxa"/>
            <w:tcBorders>
              <w:top w:val="nil"/>
              <w:left w:val="nil"/>
              <w:bottom w:val="nil"/>
              <w:right w:val="nil"/>
            </w:tcBorders>
            <w:shd w:val="clear" w:color="000000" w:fill="FFFFFF"/>
            <w:vAlign w:val="center"/>
          </w:tcPr>
          <w:p w:rsidR="00BB28CB" w:rsidRPr="000C4446" w:rsidRDefault="00BB28CB" w:rsidP="00823754">
            <w:pPr>
              <w:spacing w:line="259" w:lineRule="auto"/>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215,1</w:t>
            </w:r>
          </w:p>
        </w:tc>
      </w:tr>
      <w:tr w:rsidR="00BB28CB" w:rsidRPr="000C4446" w:rsidTr="00823754">
        <w:trPr>
          <w:trHeight w:hRule="exact" w:val="525"/>
          <w:jc w:val="center"/>
        </w:trPr>
        <w:tc>
          <w:tcPr>
            <w:tcW w:w="1941" w:type="dxa"/>
            <w:shd w:val="clear" w:color="auto" w:fill="FFFFFF" w:themeFill="background1"/>
            <w:vAlign w:val="center"/>
          </w:tcPr>
          <w:p w:rsidR="00BB28CB" w:rsidRPr="000C4446" w:rsidRDefault="00BB28CB" w:rsidP="00823754">
            <w:pPr>
              <w:ind w:left="119"/>
              <w:rPr>
                <w:rFonts w:ascii="Arial" w:eastAsiaTheme="minorHAnsi" w:hAnsi="Arial" w:cs="Arial"/>
                <w:sz w:val="15"/>
                <w:szCs w:val="15"/>
                <w:lang w:val="el-GR"/>
              </w:rPr>
            </w:pPr>
            <w:r w:rsidRPr="000C4446">
              <w:rPr>
                <w:rFonts w:ascii="Arial" w:eastAsiaTheme="minorHAnsi" w:hAnsi="Arial" w:cs="Arial"/>
                <w:sz w:val="15"/>
                <w:szCs w:val="15"/>
                <w:lang w:val="el-GR"/>
              </w:rPr>
              <w:t xml:space="preserve">Άλλες πηγές εξωτερικού </w:t>
            </w:r>
          </w:p>
        </w:tc>
        <w:tc>
          <w:tcPr>
            <w:tcW w:w="1170" w:type="dxa"/>
            <w:tcBorders>
              <w:top w:val="nil"/>
              <w:left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40</w:t>
            </w:r>
          </w:p>
        </w:tc>
        <w:tc>
          <w:tcPr>
            <w:tcW w:w="1170" w:type="dxa"/>
            <w:tcBorders>
              <w:top w:val="nil"/>
              <w:left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46,2</w:t>
            </w:r>
          </w:p>
        </w:tc>
        <w:tc>
          <w:tcPr>
            <w:tcW w:w="1170" w:type="dxa"/>
            <w:tcBorders>
              <w:top w:val="nil"/>
              <w:left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37,5</w:t>
            </w:r>
          </w:p>
        </w:tc>
        <w:tc>
          <w:tcPr>
            <w:tcW w:w="1170" w:type="dxa"/>
            <w:tcBorders>
              <w:top w:val="nil"/>
              <w:left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41,1</w:t>
            </w:r>
          </w:p>
        </w:tc>
        <w:tc>
          <w:tcPr>
            <w:tcW w:w="1170" w:type="dxa"/>
            <w:tcBorders>
              <w:top w:val="nil"/>
              <w:left w:val="nil"/>
              <w:bottom w:val="nil"/>
              <w:right w:val="nil"/>
            </w:tcBorders>
            <w:shd w:val="clear" w:color="000000" w:fill="FFFFFF"/>
            <w:vAlign w:val="center"/>
          </w:tcPr>
          <w:p w:rsidR="00BB28CB" w:rsidRPr="000C4446" w:rsidRDefault="00BB28CB" w:rsidP="00823754">
            <w:pPr>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44,8</w:t>
            </w:r>
          </w:p>
        </w:tc>
        <w:tc>
          <w:tcPr>
            <w:tcW w:w="1170" w:type="dxa"/>
            <w:tcBorders>
              <w:top w:val="nil"/>
              <w:left w:val="nil"/>
              <w:bottom w:val="nil"/>
              <w:right w:val="nil"/>
            </w:tcBorders>
            <w:shd w:val="clear" w:color="000000" w:fill="FFFFFF"/>
            <w:vAlign w:val="center"/>
          </w:tcPr>
          <w:p w:rsidR="00BB28CB" w:rsidRPr="000C4446" w:rsidRDefault="00BB28CB" w:rsidP="00823754">
            <w:pPr>
              <w:spacing w:line="259" w:lineRule="auto"/>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46,8</w:t>
            </w:r>
          </w:p>
        </w:tc>
        <w:tc>
          <w:tcPr>
            <w:tcW w:w="1170" w:type="dxa"/>
            <w:tcBorders>
              <w:top w:val="nil"/>
              <w:left w:val="nil"/>
              <w:bottom w:val="nil"/>
              <w:right w:val="nil"/>
            </w:tcBorders>
            <w:shd w:val="clear" w:color="000000" w:fill="FFFFFF"/>
            <w:vAlign w:val="center"/>
          </w:tcPr>
          <w:p w:rsidR="00BB28CB" w:rsidRPr="000C4446" w:rsidRDefault="00BB28CB" w:rsidP="00823754">
            <w:pPr>
              <w:spacing w:line="259" w:lineRule="auto"/>
              <w:jc w:val="right"/>
              <w:rPr>
                <w:rFonts w:ascii="Arial" w:eastAsiaTheme="minorHAnsi" w:hAnsi="Arial" w:cs="Arial"/>
                <w:color w:val="000000"/>
                <w:sz w:val="15"/>
                <w:szCs w:val="15"/>
                <w:lang w:val="el-GR"/>
              </w:rPr>
            </w:pPr>
            <w:r w:rsidRPr="000C4446">
              <w:rPr>
                <w:rFonts w:ascii="Arial" w:eastAsiaTheme="minorHAnsi" w:hAnsi="Arial" w:cs="Arial"/>
                <w:color w:val="000000"/>
                <w:sz w:val="15"/>
                <w:szCs w:val="15"/>
                <w:lang w:val="el-GR"/>
              </w:rPr>
              <w:t>81,0</w:t>
            </w:r>
          </w:p>
        </w:tc>
      </w:tr>
      <w:tr w:rsidR="00BB28CB" w:rsidRPr="000C4446" w:rsidTr="00823754">
        <w:trPr>
          <w:trHeight w:hRule="exact" w:val="853"/>
          <w:jc w:val="center"/>
        </w:trPr>
        <w:tc>
          <w:tcPr>
            <w:tcW w:w="1941" w:type="dxa"/>
            <w:tcBorders>
              <w:bottom w:val="single" w:sz="4" w:space="0" w:color="28557D"/>
            </w:tcBorders>
            <w:shd w:val="clear" w:color="auto" w:fill="D5DCE4" w:themeFill="text2" w:themeFillTint="33"/>
            <w:vAlign w:val="center"/>
          </w:tcPr>
          <w:p w:rsidR="00BB28CB" w:rsidRPr="000C4446" w:rsidRDefault="00BB28CB" w:rsidP="00823754">
            <w:pPr>
              <w:spacing w:line="259" w:lineRule="auto"/>
              <w:rPr>
                <w:rFonts w:ascii="Arial" w:eastAsiaTheme="minorHAnsi" w:hAnsi="Arial" w:cs="Arial"/>
                <w:b/>
                <w:color w:val="28557D"/>
                <w:sz w:val="20"/>
                <w:lang w:val="en-US"/>
              </w:rPr>
            </w:pPr>
            <w:r w:rsidRPr="000C4446">
              <w:rPr>
                <w:rFonts w:ascii="Arial" w:eastAsiaTheme="minorHAnsi" w:hAnsi="Arial" w:cs="Arial"/>
                <w:b/>
                <w:color w:val="28557D"/>
                <w:sz w:val="20"/>
                <w:lang w:val="el-GR"/>
              </w:rPr>
              <w:t>ΣΥΝΟΛΟ</w:t>
            </w:r>
          </w:p>
        </w:tc>
        <w:tc>
          <w:tcPr>
            <w:tcW w:w="1170" w:type="dxa"/>
            <w:tcBorders>
              <w:top w:val="nil"/>
              <w:left w:val="nil"/>
              <w:bottom w:val="single" w:sz="4" w:space="0" w:color="28557D"/>
              <w:right w:val="nil"/>
            </w:tcBorders>
            <w:shd w:val="clear" w:color="auto" w:fill="D5DCE4" w:themeFill="text2" w:themeFillTint="33"/>
            <w:vAlign w:val="center"/>
          </w:tcPr>
          <w:p w:rsidR="00BB28CB" w:rsidRPr="000C4446" w:rsidRDefault="00BB28CB" w:rsidP="00823754">
            <w:pPr>
              <w:spacing w:line="259" w:lineRule="auto"/>
              <w:jc w:val="right"/>
              <w:rPr>
                <w:rFonts w:ascii="Arial" w:eastAsiaTheme="minorHAnsi" w:hAnsi="Arial" w:cs="Arial"/>
                <w:b/>
                <w:bCs/>
                <w:color w:val="28557D"/>
                <w:sz w:val="20"/>
                <w:lang w:val="el-GR"/>
              </w:rPr>
            </w:pPr>
            <w:r w:rsidRPr="000C4446">
              <w:rPr>
                <w:rFonts w:ascii="Arial" w:eastAsiaTheme="minorHAnsi" w:hAnsi="Arial" w:cs="Arial"/>
                <w:b/>
                <w:bCs/>
                <w:color w:val="28557D"/>
                <w:sz w:val="20"/>
                <w:lang w:val="el-GR"/>
              </w:rPr>
              <w:t>1.391,2</w:t>
            </w:r>
          </w:p>
        </w:tc>
        <w:tc>
          <w:tcPr>
            <w:tcW w:w="1170" w:type="dxa"/>
            <w:tcBorders>
              <w:top w:val="nil"/>
              <w:left w:val="nil"/>
              <w:bottom w:val="single" w:sz="4" w:space="0" w:color="28557D"/>
              <w:right w:val="nil"/>
            </w:tcBorders>
            <w:shd w:val="clear" w:color="auto" w:fill="D5DCE4" w:themeFill="text2" w:themeFillTint="33"/>
            <w:vAlign w:val="center"/>
          </w:tcPr>
          <w:p w:rsidR="00BB28CB" w:rsidRPr="000C4446" w:rsidRDefault="00BB28CB" w:rsidP="00823754">
            <w:pPr>
              <w:spacing w:line="259" w:lineRule="auto"/>
              <w:jc w:val="right"/>
              <w:rPr>
                <w:rFonts w:ascii="Arial" w:eastAsiaTheme="minorHAnsi" w:hAnsi="Arial" w:cs="Arial"/>
                <w:b/>
                <w:bCs/>
                <w:color w:val="28557D"/>
                <w:sz w:val="20"/>
                <w:lang w:val="el-GR"/>
              </w:rPr>
            </w:pPr>
            <w:r w:rsidRPr="000C4446">
              <w:rPr>
                <w:rFonts w:ascii="Arial" w:eastAsiaTheme="minorHAnsi" w:hAnsi="Arial" w:cs="Arial"/>
                <w:b/>
                <w:bCs/>
                <w:color w:val="28557D"/>
                <w:sz w:val="20"/>
                <w:lang w:val="el-GR"/>
              </w:rPr>
              <w:t>1.337,6</w:t>
            </w:r>
          </w:p>
        </w:tc>
        <w:tc>
          <w:tcPr>
            <w:tcW w:w="1170" w:type="dxa"/>
            <w:tcBorders>
              <w:top w:val="nil"/>
              <w:left w:val="nil"/>
              <w:bottom w:val="single" w:sz="4" w:space="0" w:color="28557D"/>
              <w:right w:val="nil"/>
            </w:tcBorders>
            <w:shd w:val="clear" w:color="auto" w:fill="D5DCE4" w:themeFill="text2" w:themeFillTint="33"/>
            <w:vAlign w:val="center"/>
          </w:tcPr>
          <w:p w:rsidR="00BB28CB" w:rsidRPr="000C4446" w:rsidRDefault="00BB28CB" w:rsidP="00823754">
            <w:pPr>
              <w:spacing w:line="259" w:lineRule="auto"/>
              <w:jc w:val="right"/>
              <w:rPr>
                <w:rFonts w:ascii="Arial" w:eastAsiaTheme="minorHAnsi" w:hAnsi="Arial" w:cs="Arial"/>
                <w:b/>
                <w:bCs/>
                <w:color w:val="28557D"/>
                <w:sz w:val="20"/>
                <w:lang w:val="el-GR"/>
              </w:rPr>
            </w:pPr>
            <w:r w:rsidRPr="000C4446">
              <w:rPr>
                <w:rFonts w:ascii="Arial" w:eastAsiaTheme="minorHAnsi" w:hAnsi="Arial" w:cs="Arial"/>
                <w:b/>
                <w:bCs/>
                <w:color w:val="28557D"/>
                <w:sz w:val="20"/>
                <w:lang w:val="el-GR"/>
              </w:rPr>
              <w:t>1.465,7</w:t>
            </w:r>
          </w:p>
        </w:tc>
        <w:tc>
          <w:tcPr>
            <w:tcW w:w="1170" w:type="dxa"/>
            <w:tcBorders>
              <w:top w:val="nil"/>
              <w:left w:val="nil"/>
              <w:bottom w:val="single" w:sz="4" w:space="0" w:color="28557D"/>
              <w:right w:val="nil"/>
            </w:tcBorders>
            <w:shd w:val="clear" w:color="auto" w:fill="D5DCE4" w:themeFill="text2" w:themeFillTint="33"/>
            <w:vAlign w:val="center"/>
          </w:tcPr>
          <w:p w:rsidR="00BB28CB" w:rsidRPr="000C4446" w:rsidRDefault="00BB28CB" w:rsidP="00823754">
            <w:pPr>
              <w:spacing w:line="259" w:lineRule="auto"/>
              <w:jc w:val="right"/>
              <w:rPr>
                <w:rFonts w:ascii="Arial" w:eastAsiaTheme="minorHAnsi" w:hAnsi="Arial" w:cs="Arial"/>
                <w:b/>
                <w:bCs/>
                <w:color w:val="28557D"/>
                <w:sz w:val="20"/>
                <w:lang w:val="el-GR"/>
              </w:rPr>
            </w:pPr>
            <w:r w:rsidRPr="000C4446">
              <w:rPr>
                <w:rFonts w:ascii="Arial" w:eastAsiaTheme="minorHAnsi" w:hAnsi="Arial" w:cs="Arial"/>
                <w:b/>
                <w:bCs/>
                <w:color w:val="28557D"/>
                <w:sz w:val="20"/>
                <w:lang w:val="el-GR"/>
              </w:rPr>
              <w:t>1.488,7</w:t>
            </w:r>
          </w:p>
        </w:tc>
        <w:tc>
          <w:tcPr>
            <w:tcW w:w="1170" w:type="dxa"/>
            <w:tcBorders>
              <w:top w:val="nil"/>
              <w:left w:val="nil"/>
              <w:bottom w:val="single" w:sz="8" w:space="0" w:color="556978"/>
              <w:right w:val="nil"/>
            </w:tcBorders>
            <w:shd w:val="clear" w:color="auto" w:fill="D5DCE4" w:themeFill="text2" w:themeFillTint="33"/>
            <w:vAlign w:val="center"/>
          </w:tcPr>
          <w:p w:rsidR="00BB28CB" w:rsidRPr="000C4446" w:rsidRDefault="00BB28CB" w:rsidP="00823754">
            <w:pPr>
              <w:spacing w:line="259" w:lineRule="auto"/>
              <w:jc w:val="right"/>
              <w:rPr>
                <w:rFonts w:ascii="Arial" w:eastAsiaTheme="minorHAnsi" w:hAnsi="Arial" w:cs="Arial"/>
                <w:b/>
                <w:bCs/>
                <w:color w:val="000000"/>
                <w:sz w:val="20"/>
                <w:lang w:val="el-GR"/>
              </w:rPr>
            </w:pPr>
            <w:r w:rsidRPr="000C4446">
              <w:rPr>
                <w:rFonts w:ascii="Arial" w:eastAsiaTheme="minorHAnsi" w:hAnsi="Arial" w:cs="Arial"/>
                <w:b/>
                <w:bCs/>
                <w:color w:val="28557D"/>
                <w:sz w:val="20"/>
                <w:lang w:val="el-GR"/>
              </w:rPr>
              <w:t>1.703,8</w:t>
            </w:r>
          </w:p>
        </w:tc>
        <w:tc>
          <w:tcPr>
            <w:tcW w:w="1170" w:type="dxa"/>
            <w:tcBorders>
              <w:top w:val="nil"/>
              <w:left w:val="nil"/>
              <w:bottom w:val="single" w:sz="8" w:space="0" w:color="556978"/>
              <w:right w:val="nil"/>
            </w:tcBorders>
            <w:shd w:val="clear" w:color="auto" w:fill="D5DCE4" w:themeFill="text2" w:themeFillTint="33"/>
            <w:vAlign w:val="center"/>
          </w:tcPr>
          <w:p w:rsidR="00BB28CB" w:rsidRPr="000C4446" w:rsidRDefault="00BB28CB" w:rsidP="00823754">
            <w:pPr>
              <w:spacing w:line="259" w:lineRule="auto"/>
              <w:jc w:val="right"/>
              <w:rPr>
                <w:rFonts w:ascii="Arial" w:eastAsiaTheme="minorHAnsi" w:hAnsi="Arial" w:cs="Arial"/>
                <w:b/>
                <w:bCs/>
                <w:color w:val="28557D"/>
                <w:sz w:val="20"/>
                <w:lang w:val="el-GR"/>
              </w:rPr>
            </w:pPr>
            <w:r w:rsidRPr="000C4446">
              <w:rPr>
                <w:rFonts w:ascii="Arial" w:eastAsiaTheme="minorHAnsi" w:hAnsi="Arial" w:cs="Arial"/>
                <w:b/>
                <w:bCs/>
                <w:color w:val="28557D"/>
                <w:sz w:val="20"/>
                <w:lang w:val="el-GR"/>
              </w:rPr>
              <w:t>1.745,2</w:t>
            </w:r>
          </w:p>
        </w:tc>
        <w:tc>
          <w:tcPr>
            <w:tcW w:w="1170" w:type="dxa"/>
            <w:tcBorders>
              <w:top w:val="nil"/>
              <w:left w:val="nil"/>
              <w:bottom w:val="single" w:sz="8" w:space="0" w:color="556978"/>
              <w:right w:val="nil"/>
            </w:tcBorders>
            <w:shd w:val="clear" w:color="auto" w:fill="D5DCE4" w:themeFill="text2" w:themeFillTint="33"/>
            <w:vAlign w:val="center"/>
          </w:tcPr>
          <w:p w:rsidR="00BB28CB" w:rsidRPr="000C4446" w:rsidRDefault="00BB28CB" w:rsidP="00823754">
            <w:pPr>
              <w:spacing w:line="259" w:lineRule="auto"/>
              <w:jc w:val="right"/>
              <w:rPr>
                <w:rFonts w:ascii="Arial" w:eastAsiaTheme="minorHAnsi" w:hAnsi="Arial" w:cs="Arial"/>
                <w:b/>
                <w:bCs/>
                <w:color w:val="28557D"/>
                <w:sz w:val="20"/>
                <w:lang w:val="el-GR"/>
              </w:rPr>
            </w:pPr>
            <w:r w:rsidRPr="000C4446">
              <w:rPr>
                <w:rFonts w:ascii="Arial" w:eastAsiaTheme="minorHAnsi" w:hAnsi="Arial" w:cs="Arial"/>
                <w:b/>
                <w:bCs/>
                <w:color w:val="28557D"/>
                <w:sz w:val="20"/>
                <w:lang w:val="el-GR"/>
              </w:rPr>
              <w:t>2.033,0</w:t>
            </w:r>
          </w:p>
        </w:tc>
      </w:tr>
    </w:tbl>
    <w:p w:rsidR="00BB28CB" w:rsidRDefault="00BB28CB" w:rsidP="00BB28CB">
      <w:pPr>
        <w:rPr>
          <w:rFonts w:ascii="Arial" w:eastAsiaTheme="minorHAnsi" w:hAnsi="Arial" w:cs="Arial"/>
          <w:b/>
          <w:iCs/>
          <w:sz w:val="18"/>
          <w:lang w:val="el-GR"/>
        </w:rPr>
      </w:pPr>
    </w:p>
    <w:p w:rsidR="00BB28CB" w:rsidRPr="009344AF" w:rsidRDefault="00BB28CB" w:rsidP="00BB28CB">
      <w:pPr>
        <w:spacing w:before="120" w:after="120" w:line="259" w:lineRule="auto"/>
        <w:ind w:right="-760" w:hanging="567"/>
        <w:rPr>
          <w:rFonts w:ascii="Verdana" w:eastAsiaTheme="minorHAnsi" w:hAnsi="Verdana" w:cs="Arial"/>
          <w:noProof/>
          <w:sz w:val="16"/>
          <w:szCs w:val="16"/>
          <w:lang w:val="el-GR" w:eastAsia="el-GR"/>
        </w:rPr>
      </w:pPr>
      <w:r w:rsidRPr="009344AF">
        <w:rPr>
          <w:rFonts w:ascii="Verdana" w:eastAsiaTheme="minorHAnsi" w:hAnsi="Verdana" w:cs="Arial"/>
          <w:iCs/>
          <w:noProof/>
          <w:sz w:val="16"/>
          <w:szCs w:val="16"/>
          <w:lang w:val="el-GR" w:eastAsia="el-GR"/>
        </w:rPr>
        <w:t xml:space="preserve">Πηγή: </w:t>
      </w:r>
      <w:r w:rsidRPr="009344AF">
        <w:rPr>
          <w:rFonts w:ascii="Verdana" w:eastAsiaTheme="minorHAnsi" w:hAnsi="Verdana" w:cs="Arial"/>
          <w:noProof/>
          <w:sz w:val="16"/>
          <w:szCs w:val="16"/>
          <w:lang w:val="el-GR" w:eastAsia="el-GR"/>
        </w:rPr>
        <w:t>Ε</w:t>
      </w:r>
      <w:r>
        <w:rPr>
          <w:rFonts w:ascii="Verdana" w:eastAsiaTheme="minorHAnsi" w:hAnsi="Verdana" w:cs="Arial"/>
          <w:noProof/>
          <w:sz w:val="16"/>
          <w:szCs w:val="16"/>
          <w:lang w:val="el-GR" w:eastAsia="el-GR"/>
        </w:rPr>
        <w:t>θνικό Κέντρο Τεκμηρίωσης</w:t>
      </w:r>
      <w:r w:rsidRPr="009344AF">
        <w:rPr>
          <w:rFonts w:ascii="Verdana" w:eastAsiaTheme="minorHAnsi" w:hAnsi="Verdana" w:cs="Arial"/>
          <w:noProof/>
          <w:sz w:val="16"/>
          <w:szCs w:val="16"/>
          <w:lang w:val="el-GR" w:eastAsia="el-GR"/>
        </w:rPr>
        <w:t xml:space="preserve"> (</w:t>
      </w:r>
      <w:hyperlink r:id="rId18" w:history="1">
        <w:r w:rsidRPr="009344AF">
          <w:rPr>
            <w:rFonts w:ascii="Verdana" w:eastAsia="Calibri" w:hAnsi="Verdana" w:cstheme="minorBidi"/>
            <w:sz w:val="16"/>
            <w:szCs w:val="16"/>
            <w:lang w:val="el-GR"/>
          </w:rPr>
          <w:t>http</w:t>
        </w:r>
      </w:hyperlink>
      <w:hyperlink r:id="rId19" w:history="1">
        <w:r w:rsidRPr="009344AF">
          <w:rPr>
            <w:rFonts w:ascii="Verdana" w:eastAsia="Calibri" w:hAnsi="Verdana" w:cstheme="minorBidi"/>
            <w:sz w:val="16"/>
            <w:szCs w:val="16"/>
            <w:lang w:val="el-GR"/>
          </w:rPr>
          <w:t>://</w:t>
        </w:r>
      </w:hyperlink>
      <w:hyperlink r:id="rId20" w:history="1">
        <w:r w:rsidRPr="009344AF">
          <w:rPr>
            <w:rFonts w:ascii="Verdana" w:eastAsia="Calibri" w:hAnsi="Verdana" w:cstheme="minorBidi"/>
            <w:sz w:val="16"/>
            <w:szCs w:val="16"/>
            <w:lang w:val="el-GR"/>
          </w:rPr>
          <w:t>metrics.ekt.gr/statistika-etak/datatables</w:t>
        </w:r>
      </w:hyperlink>
      <w:r w:rsidRPr="009344AF">
        <w:rPr>
          <w:rFonts w:ascii="Verdana" w:eastAsiaTheme="minorHAnsi" w:hAnsi="Verdana" w:cs="Arial"/>
          <w:noProof/>
          <w:sz w:val="16"/>
          <w:szCs w:val="16"/>
          <w:lang w:val="el-GR" w:eastAsia="el-GR"/>
        </w:rPr>
        <w:t>, κωδικός στοιχείων: Δ3)</w:t>
      </w:r>
    </w:p>
    <w:p w:rsidR="00BB28CB" w:rsidRDefault="00BB28CB">
      <w:pPr>
        <w:rPr>
          <w:rFonts w:ascii="Verdana" w:hAnsi="Verdana" w:cs="Arial"/>
          <w:b/>
          <w:iCs/>
          <w:sz w:val="20"/>
          <w:lang w:val="el-GR"/>
        </w:rPr>
      </w:pPr>
      <w:r>
        <w:rPr>
          <w:rFonts w:ascii="Verdana" w:hAnsi="Verdana" w:cs="Arial"/>
          <w:b/>
          <w:iCs/>
          <w:sz w:val="20"/>
          <w:lang w:val="el-GR"/>
        </w:rPr>
        <w:br w:type="page"/>
      </w:r>
    </w:p>
    <w:p w:rsidR="00B80DDC" w:rsidRPr="009344AF" w:rsidRDefault="006D22BB" w:rsidP="00AD352E">
      <w:pPr>
        <w:jc w:val="both"/>
        <w:rPr>
          <w:rFonts w:ascii="Verdana" w:hAnsi="Verdana"/>
          <w:b/>
          <w:sz w:val="28"/>
          <w:szCs w:val="24"/>
          <w:lang w:val="el-GR"/>
        </w:rPr>
      </w:pPr>
      <w:r w:rsidRPr="009344AF">
        <w:rPr>
          <w:rFonts w:ascii="Verdana" w:hAnsi="Verdana" w:cs="Arial"/>
          <w:b/>
          <w:iCs/>
          <w:sz w:val="20"/>
          <w:lang w:val="el-GR"/>
        </w:rPr>
        <w:lastRenderedPageBreak/>
        <w:t>Ένταση Ε&amp;Α (Δαπάνες Ε&amp;Α ως %ΑΕΠ) στην Ελλάδα (προκαταρκτικά στοιχεία 2017) και στις χώρες της ΕΕ28 (στοιχεία 2016)</w:t>
      </w:r>
    </w:p>
    <w:p w:rsidR="0062758E" w:rsidRDefault="000C4446" w:rsidP="0062758E">
      <w:pPr>
        <w:spacing w:after="160" w:line="259" w:lineRule="auto"/>
        <w:jc w:val="both"/>
        <w:rPr>
          <w:rFonts w:ascii="Arial" w:eastAsiaTheme="minorHAnsi" w:hAnsi="Arial" w:cs="Arial"/>
          <w:b/>
          <w:iCs/>
          <w:sz w:val="18"/>
          <w:lang w:val="el-GR"/>
        </w:rPr>
      </w:pPr>
      <w:r>
        <w:rPr>
          <w:rFonts w:ascii="Arial" w:eastAsiaTheme="minorHAnsi" w:hAnsi="Arial" w:cs="Arial"/>
          <w:b/>
          <w:iCs/>
          <w:noProof/>
          <w:sz w:val="18"/>
          <w:lang w:val="el-GR" w:eastAsia="el-GR"/>
        </w:rPr>
        <w:drawing>
          <wp:anchor distT="0" distB="0" distL="114300" distR="114300" simplePos="0" relativeHeight="251659264" behindDoc="0" locked="0" layoutInCell="1" allowOverlap="1" wp14:anchorId="3A7FFB3E" wp14:editId="750555CE">
            <wp:simplePos x="0" y="0"/>
            <wp:positionH relativeFrom="margin">
              <wp:align>left</wp:align>
            </wp:positionH>
            <wp:positionV relativeFrom="paragraph">
              <wp:posOffset>140941</wp:posOffset>
            </wp:positionV>
            <wp:extent cx="5497195" cy="7067550"/>
            <wp:effectExtent l="0" t="0" r="8255"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11113" cy="7084661"/>
                    </a:xfrm>
                    <a:prstGeom prst="rect">
                      <a:avLst/>
                    </a:prstGeom>
                    <a:noFill/>
                  </pic:spPr>
                </pic:pic>
              </a:graphicData>
            </a:graphic>
            <wp14:sizeRelH relativeFrom="page">
              <wp14:pctWidth>0</wp14:pctWidth>
            </wp14:sizeRelH>
            <wp14:sizeRelV relativeFrom="page">
              <wp14:pctHeight>0</wp14:pctHeight>
            </wp14:sizeRelV>
          </wp:anchor>
        </w:drawing>
      </w:r>
    </w:p>
    <w:p w:rsidR="006D22BB" w:rsidRDefault="00276F8B" w:rsidP="0062758E">
      <w:pPr>
        <w:spacing w:after="160" w:line="259" w:lineRule="auto"/>
        <w:jc w:val="both"/>
        <w:rPr>
          <w:rFonts w:ascii="Arial" w:eastAsiaTheme="minorHAnsi" w:hAnsi="Arial" w:cs="Arial"/>
          <w:b/>
          <w:iCs/>
          <w:sz w:val="18"/>
          <w:lang w:val="el-GR"/>
        </w:rPr>
      </w:pPr>
      <w:r w:rsidRPr="009344AF">
        <w:rPr>
          <w:rFonts w:ascii="Verdana" w:eastAsiaTheme="minorHAnsi" w:hAnsi="Verdana" w:cs="Arial"/>
          <w:iCs/>
          <w:noProof/>
          <w:sz w:val="16"/>
          <w:szCs w:val="16"/>
          <w:lang w:val="el-GR" w:eastAsia="el-GR"/>
        </w:rPr>
        <w:t xml:space="preserve">Πηγή: </w:t>
      </w:r>
      <w:r w:rsidR="00872367">
        <w:rPr>
          <w:rFonts w:ascii="Verdana" w:eastAsiaTheme="minorHAnsi" w:hAnsi="Verdana" w:cs="Arial"/>
          <w:iCs/>
          <w:noProof/>
          <w:sz w:val="16"/>
          <w:szCs w:val="16"/>
          <w:lang w:val="el-GR" w:eastAsia="el-GR"/>
        </w:rPr>
        <w:t>Eurostat</w:t>
      </w:r>
      <w:r>
        <w:rPr>
          <w:rFonts w:ascii="Verdana" w:eastAsiaTheme="minorHAnsi" w:hAnsi="Verdana" w:cs="Arial"/>
          <w:iCs/>
          <w:noProof/>
          <w:sz w:val="16"/>
          <w:szCs w:val="16"/>
          <w:lang w:val="el-GR" w:eastAsia="el-GR"/>
        </w:rPr>
        <w:t xml:space="preserve">, </w:t>
      </w:r>
      <w:r w:rsidRPr="009344AF">
        <w:rPr>
          <w:rFonts w:ascii="Verdana" w:eastAsiaTheme="minorHAnsi" w:hAnsi="Verdana" w:cs="Arial"/>
          <w:noProof/>
          <w:sz w:val="16"/>
          <w:szCs w:val="16"/>
          <w:lang w:val="el-GR" w:eastAsia="el-GR"/>
        </w:rPr>
        <w:t>Ε</w:t>
      </w:r>
      <w:r>
        <w:rPr>
          <w:rFonts w:ascii="Verdana" w:eastAsiaTheme="minorHAnsi" w:hAnsi="Verdana" w:cs="Arial"/>
          <w:noProof/>
          <w:sz w:val="16"/>
          <w:szCs w:val="16"/>
          <w:lang w:val="el-GR" w:eastAsia="el-GR"/>
        </w:rPr>
        <w:t>θνικό Κέντρο Τεκμηρίωσης</w:t>
      </w:r>
    </w:p>
    <w:p w:rsidR="00B255F2" w:rsidRDefault="00B255F2">
      <w:pPr>
        <w:rPr>
          <w:rFonts w:ascii="Arial" w:eastAsiaTheme="minorHAnsi" w:hAnsi="Arial" w:cs="Arial"/>
          <w:b/>
          <w:iCs/>
          <w:sz w:val="18"/>
          <w:lang w:val="el-GR"/>
        </w:rPr>
      </w:pPr>
    </w:p>
    <w:sectPr w:rsidR="00B255F2">
      <w:headerReference w:type="even" r:id="rId22"/>
      <w:headerReference w:type="default" r:id="rId23"/>
      <w:footerReference w:type="even" r:id="rId24"/>
      <w:footerReference w:type="default" r:id="rId25"/>
      <w:headerReference w:type="first" r:id="rId26"/>
      <w:footerReference w:type="first" r:id="rId27"/>
      <w:pgSz w:w="11906" w:h="16838" w:code="9"/>
      <w:pgMar w:top="1135"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A9F" w:rsidRDefault="007E1A9F">
      <w:r>
        <w:separator/>
      </w:r>
    </w:p>
  </w:endnote>
  <w:endnote w:type="continuationSeparator" w:id="0">
    <w:p w:rsidR="007E1A9F" w:rsidRDefault="007E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9D" w:rsidRDefault="00281A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9D" w:rsidRPr="00575310" w:rsidRDefault="00281A9D" w:rsidP="00147A16">
    <w:pPr>
      <w:pStyle w:val="a4"/>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 xml:space="preserve">μα Ερευνών, </w:t>
    </w:r>
    <w:proofErr w:type="spellStart"/>
    <w:r w:rsidRPr="00575310">
      <w:rPr>
        <w:rFonts w:ascii="Verdana" w:hAnsi="Verdana" w:cs="Tahoma"/>
        <w:sz w:val="16"/>
        <w:szCs w:val="16"/>
        <w:lang w:val="el-GR"/>
      </w:rPr>
      <w:t>Βασ</w:t>
    </w:r>
    <w:proofErr w:type="spellEnd"/>
    <w:r w:rsidRPr="00575310">
      <w:rPr>
        <w:rFonts w:ascii="Verdana" w:hAnsi="Verdana" w:cs="Tahoma"/>
        <w:sz w:val="16"/>
        <w:szCs w:val="16"/>
        <w:lang w:val="el-GR"/>
      </w:rPr>
      <w:t>. Κωνσταντίνου 48, 11635 Αθήνα</w:t>
    </w:r>
  </w:p>
  <w:p w:rsidR="00281A9D" w:rsidRPr="00147A16" w:rsidRDefault="00281A9D" w:rsidP="00147A16">
    <w:pPr>
      <w:pStyle w:val="a4"/>
      <w:tabs>
        <w:tab w:val="clear" w:pos="8640"/>
      </w:tabs>
      <w:ind w:right="283"/>
      <w:jc w:val="center"/>
      <w:rPr>
        <w:lang w:val="fr-FR"/>
      </w:rPr>
    </w:pPr>
    <w:proofErr w:type="spellStart"/>
    <w:r w:rsidRPr="00575310">
      <w:rPr>
        <w:rFonts w:ascii="Verdana" w:hAnsi="Verdana" w:cs="Tahoma"/>
        <w:sz w:val="16"/>
        <w:szCs w:val="16"/>
        <w:lang w:val="el-GR"/>
      </w:rPr>
      <w:t>Τηλ</w:t>
    </w:r>
    <w:proofErr w:type="spellEnd"/>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9D" w:rsidRDefault="00281A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A9F" w:rsidRDefault="007E1A9F">
      <w:r>
        <w:separator/>
      </w:r>
    </w:p>
  </w:footnote>
  <w:footnote w:type="continuationSeparator" w:id="0">
    <w:p w:rsidR="007E1A9F" w:rsidRDefault="007E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9D" w:rsidRDefault="00281A9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9D" w:rsidRDefault="00281A9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9D" w:rsidRDefault="00281A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9C3429"/>
    <w:multiLevelType w:val="hybridMultilevel"/>
    <w:tmpl w:val="A71A4196"/>
    <w:lvl w:ilvl="0" w:tplc="0216613A">
      <w:numFmt w:val="bullet"/>
      <w:lvlText w:val="•"/>
      <w:lvlJc w:val="left"/>
      <w:pPr>
        <w:ind w:left="294" w:hanging="720"/>
      </w:pPr>
      <w:rPr>
        <w:rFonts w:ascii="Verdana" w:eastAsia="Times New Roman" w:hAnsi="Verdana"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3">
    <w:nsid w:val="0D232E17"/>
    <w:multiLevelType w:val="hybridMultilevel"/>
    <w:tmpl w:val="AD144A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0F2A6B93"/>
    <w:multiLevelType w:val="hybridMultilevel"/>
    <w:tmpl w:val="78D4F3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6">
    <w:nsid w:val="17E6070D"/>
    <w:multiLevelType w:val="hybridMultilevel"/>
    <w:tmpl w:val="5AFE5BDE"/>
    <w:lvl w:ilvl="0" w:tplc="5EF08AA6">
      <w:start w:val="21"/>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1AEE4990"/>
    <w:multiLevelType w:val="hybridMultilevel"/>
    <w:tmpl w:val="9D36A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BC08E4"/>
    <w:multiLevelType w:val="hybridMultilevel"/>
    <w:tmpl w:val="AB4E7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3">
    <w:nsid w:val="21A43DA3"/>
    <w:multiLevelType w:val="hybridMultilevel"/>
    <w:tmpl w:val="A8F8D6A6"/>
    <w:lvl w:ilvl="0" w:tplc="CFAC9310">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5792152"/>
    <w:multiLevelType w:val="hybridMultilevel"/>
    <w:tmpl w:val="F51CC968"/>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8">
    <w:nsid w:val="36F87E05"/>
    <w:multiLevelType w:val="hybridMultilevel"/>
    <w:tmpl w:val="D7E06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A783DC7"/>
    <w:multiLevelType w:val="hybridMultilevel"/>
    <w:tmpl w:val="9D625D66"/>
    <w:lvl w:ilvl="0" w:tplc="0216613A">
      <w:numFmt w:val="bullet"/>
      <w:lvlText w:val="•"/>
      <w:lvlJc w:val="left"/>
      <w:pPr>
        <w:ind w:left="349" w:hanging="720"/>
      </w:pPr>
      <w:rPr>
        <w:rFonts w:ascii="Verdana" w:eastAsia="Times New Roman" w:hAnsi="Verdana" w:cs="Times New Roman" w:hint="default"/>
      </w:rPr>
    </w:lvl>
    <w:lvl w:ilvl="1" w:tplc="04080003" w:tentative="1">
      <w:start w:val="1"/>
      <w:numFmt w:val="bullet"/>
      <w:lvlText w:val="o"/>
      <w:lvlJc w:val="left"/>
      <w:pPr>
        <w:ind w:left="709" w:hanging="360"/>
      </w:pPr>
      <w:rPr>
        <w:rFonts w:ascii="Courier New" w:hAnsi="Courier New" w:cs="Courier New" w:hint="default"/>
      </w:rPr>
    </w:lvl>
    <w:lvl w:ilvl="2" w:tplc="04080005" w:tentative="1">
      <w:start w:val="1"/>
      <w:numFmt w:val="bullet"/>
      <w:lvlText w:val=""/>
      <w:lvlJc w:val="left"/>
      <w:pPr>
        <w:ind w:left="1429" w:hanging="360"/>
      </w:pPr>
      <w:rPr>
        <w:rFonts w:ascii="Wingdings" w:hAnsi="Wingdings" w:hint="default"/>
      </w:rPr>
    </w:lvl>
    <w:lvl w:ilvl="3" w:tplc="04080001" w:tentative="1">
      <w:start w:val="1"/>
      <w:numFmt w:val="bullet"/>
      <w:lvlText w:val=""/>
      <w:lvlJc w:val="left"/>
      <w:pPr>
        <w:ind w:left="2149" w:hanging="360"/>
      </w:pPr>
      <w:rPr>
        <w:rFonts w:ascii="Symbol" w:hAnsi="Symbol" w:hint="default"/>
      </w:rPr>
    </w:lvl>
    <w:lvl w:ilvl="4" w:tplc="04080003" w:tentative="1">
      <w:start w:val="1"/>
      <w:numFmt w:val="bullet"/>
      <w:lvlText w:val="o"/>
      <w:lvlJc w:val="left"/>
      <w:pPr>
        <w:ind w:left="2869" w:hanging="360"/>
      </w:pPr>
      <w:rPr>
        <w:rFonts w:ascii="Courier New" w:hAnsi="Courier New" w:cs="Courier New" w:hint="default"/>
      </w:rPr>
    </w:lvl>
    <w:lvl w:ilvl="5" w:tplc="04080005" w:tentative="1">
      <w:start w:val="1"/>
      <w:numFmt w:val="bullet"/>
      <w:lvlText w:val=""/>
      <w:lvlJc w:val="left"/>
      <w:pPr>
        <w:ind w:left="3589" w:hanging="360"/>
      </w:pPr>
      <w:rPr>
        <w:rFonts w:ascii="Wingdings" w:hAnsi="Wingdings" w:hint="default"/>
      </w:rPr>
    </w:lvl>
    <w:lvl w:ilvl="6" w:tplc="04080001" w:tentative="1">
      <w:start w:val="1"/>
      <w:numFmt w:val="bullet"/>
      <w:lvlText w:val=""/>
      <w:lvlJc w:val="left"/>
      <w:pPr>
        <w:ind w:left="4309" w:hanging="360"/>
      </w:pPr>
      <w:rPr>
        <w:rFonts w:ascii="Symbol" w:hAnsi="Symbol" w:hint="default"/>
      </w:rPr>
    </w:lvl>
    <w:lvl w:ilvl="7" w:tplc="04080003" w:tentative="1">
      <w:start w:val="1"/>
      <w:numFmt w:val="bullet"/>
      <w:lvlText w:val="o"/>
      <w:lvlJc w:val="left"/>
      <w:pPr>
        <w:ind w:left="5029" w:hanging="360"/>
      </w:pPr>
      <w:rPr>
        <w:rFonts w:ascii="Courier New" w:hAnsi="Courier New" w:cs="Courier New" w:hint="default"/>
      </w:rPr>
    </w:lvl>
    <w:lvl w:ilvl="8" w:tplc="04080005" w:tentative="1">
      <w:start w:val="1"/>
      <w:numFmt w:val="bullet"/>
      <w:lvlText w:val=""/>
      <w:lvlJc w:val="left"/>
      <w:pPr>
        <w:ind w:left="5749" w:hanging="360"/>
      </w:pPr>
      <w:rPr>
        <w:rFonts w:ascii="Wingdings" w:hAnsi="Wingdings" w:hint="default"/>
      </w:rPr>
    </w:lvl>
  </w:abstractNum>
  <w:abstractNum w:abstractNumId="20">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21">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1CA17D0"/>
    <w:multiLevelType w:val="hybridMultilevel"/>
    <w:tmpl w:val="3286D054"/>
    <w:lvl w:ilvl="0" w:tplc="CFAC9310">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3A54515"/>
    <w:multiLevelType w:val="hybridMultilevel"/>
    <w:tmpl w:val="E1644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DA61F33"/>
    <w:multiLevelType w:val="hybridMultilevel"/>
    <w:tmpl w:val="7D1E8DB6"/>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3220E21"/>
    <w:multiLevelType w:val="hybridMultilevel"/>
    <w:tmpl w:val="5C802ED8"/>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B7D0F13"/>
    <w:multiLevelType w:val="hybridMultilevel"/>
    <w:tmpl w:val="469AFFD8"/>
    <w:lvl w:ilvl="0" w:tplc="3A7E45D4">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26C26FA"/>
    <w:multiLevelType w:val="hybridMultilevel"/>
    <w:tmpl w:val="0CCAE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3A92336"/>
    <w:multiLevelType w:val="hybridMultilevel"/>
    <w:tmpl w:val="17321A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8F96F91"/>
    <w:multiLevelType w:val="hybridMultilevel"/>
    <w:tmpl w:val="9500C3AC"/>
    <w:lvl w:ilvl="0" w:tplc="3A7E45D4">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A1461BD"/>
    <w:multiLevelType w:val="hybridMultilevel"/>
    <w:tmpl w:val="93627936"/>
    <w:lvl w:ilvl="0" w:tplc="04080001">
      <w:start w:val="1"/>
      <w:numFmt w:val="bullet"/>
      <w:lvlText w:val=""/>
      <w:lvlJc w:val="left"/>
      <w:pPr>
        <w:ind w:left="810" w:hanging="45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6E493144"/>
    <w:multiLevelType w:val="multilevel"/>
    <w:tmpl w:val="5B1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661090"/>
    <w:multiLevelType w:val="hybridMultilevel"/>
    <w:tmpl w:val="26A6243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7">
    <w:nsid w:val="72F9104F"/>
    <w:multiLevelType w:val="hybridMultilevel"/>
    <w:tmpl w:val="C0CE4B5A"/>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89652F0"/>
    <w:multiLevelType w:val="hybridMultilevel"/>
    <w:tmpl w:val="2ED407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9D64E98"/>
    <w:multiLevelType w:val="hybridMultilevel"/>
    <w:tmpl w:val="6FC44F14"/>
    <w:lvl w:ilvl="0" w:tplc="5EF08AA6">
      <w:start w:val="21"/>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F774FD0"/>
    <w:multiLevelType w:val="hybridMultilevel"/>
    <w:tmpl w:val="31B0AABC"/>
    <w:lvl w:ilvl="0" w:tplc="A108453E">
      <w:numFmt w:val="bullet"/>
      <w:lvlText w:val="-"/>
      <w:lvlJc w:val="left"/>
      <w:pPr>
        <w:ind w:left="450" w:hanging="45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0"/>
  </w:num>
  <w:num w:numId="4">
    <w:abstractNumId w:val="7"/>
  </w:num>
  <w:num w:numId="5">
    <w:abstractNumId w:val="5"/>
  </w:num>
  <w:num w:numId="6">
    <w:abstractNumId w:val="28"/>
  </w:num>
  <w:num w:numId="7">
    <w:abstractNumId w:val="12"/>
  </w:num>
  <w:num w:numId="8">
    <w:abstractNumId w:val="20"/>
  </w:num>
  <w:num w:numId="9">
    <w:abstractNumId w:val="34"/>
  </w:num>
  <w:num w:numId="10">
    <w:abstractNumId w:val="15"/>
  </w:num>
  <w:num w:numId="11">
    <w:abstractNumId w:val="1"/>
  </w:num>
  <w:num w:numId="12">
    <w:abstractNumId w:val="21"/>
  </w:num>
  <w:num w:numId="13">
    <w:abstractNumId w:val="26"/>
  </w:num>
  <w:num w:numId="14">
    <w:abstractNumId w:val="31"/>
  </w:num>
  <w:num w:numId="15">
    <w:abstractNumId w:val="10"/>
  </w:num>
  <w:num w:numId="16">
    <w:abstractNumId w:val="17"/>
  </w:num>
  <w:num w:numId="17">
    <w:abstractNumId w:val="11"/>
  </w:num>
  <w:num w:numId="18">
    <w:abstractNumId w:val="22"/>
  </w:num>
  <w:num w:numId="19">
    <w:abstractNumId w:val="29"/>
  </w:num>
  <w:num w:numId="20">
    <w:abstractNumId w:val="13"/>
  </w:num>
  <w:num w:numId="21">
    <w:abstractNumId w:val="18"/>
  </w:num>
  <w:num w:numId="22">
    <w:abstractNumId w:val="23"/>
  </w:num>
  <w:num w:numId="23">
    <w:abstractNumId w:val="37"/>
  </w:num>
  <w:num w:numId="24">
    <w:abstractNumId w:val="40"/>
  </w:num>
  <w:num w:numId="25">
    <w:abstractNumId w:val="25"/>
  </w:num>
  <w:num w:numId="26">
    <w:abstractNumId w:val="33"/>
  </w:num>
  <w:num w:numId="27">
    <w:abstractNumId w:val="38"/>
  </w:num>
  <w:num w:numId="28">
    <w:abstractNumId w:val="27"/>
  </w:num>
  <w:num w:numId="29">
    <w:abstractNumId w:val="32"/>
  </w:num>
  <w:num w:numId="30">
    <w:abstractNumId w:val="8"/>
  </w:num>
  <w:num w:numId="31">
    <w:abstractNumId w:val="24"/>
  </w:num>
  <w:num w:numId="32">
    <w:abstractNumId w:val="16"/>
  </w:num>
  <w:num w:numId="33">
    <w:abstractNumId w:val="2"/>
  </w:num>
  <w:num w:numId="34">
    <w:abstractNumId w:val="19"/>
  </w:num>
  <w:num w:numId="35">
    <w:abstractNumId w:val="39"/>
  </w:num>
  <w:num w:numId="36">
    <w:abstractNumId w:val="6"/>
  </w:num>
  <w:num w:numId="37">
    <w:abstractNumId w:val="3"/>
  </w:num>
  <w:num w:numId="38">
    <w:abstractNumId w:val="4"/>
  </w:num>
  <w:num w:numId="39">
    <w:abstractNumId w:val="3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52"/>
    <w:rsid w:val="00000087"/>
    <w:rsid w:val="0000048D"/>
    <w:rsid w:val="00002242"/>
    <w:rsid w:val="00002455"/>
    <w:rsid w:val="00002542"/>
    <w:rsid w:val="00003296"/>
    <w:rsid w:val="00003FF0"/>
    <w:rsid w:val="0000705D"/>
    <w:rsid w:val="00012928"/>
    <w:rsid w:val="0001385B"/>
    <w:rsid w:val="000152DD"/>
    <w:rsid w:val="000166AD"/>
    <w:rsid w:val="00016B9D"/>
    <w:rsid w:val="0001710A"/>
    <w:rsid w:val="00020C77"/>
    <w:rsid w:val="00024C5E"/>
    <w:rsid w:val="000255BC"/>
    <w:rsid w:val="0002734F"/>
    <w:rsid w:val="000275F9"/>
    <w:rsid w:val="00031A8A"/>
    <w:rsid w:val="0003399A"/>
    <w:rsid w:val="00034914"/>
    <w:rsid w:val="000402EA"/>
    <w:rsid w:val="00041550"/>
    <w:rsid w:val="00041F36"/>
    <w:rsid w:val="000420C9"/>
    <w:rsid w:val="00043FA0"/>
    <w:rsid w:val="000454CD"/>
    <w:rsid w:val="00046C31"/>
    <w:rsid w:val="00047621"/>
    <w:rsid w:val="000477BD"/>
    <w:rsid w:val="00047968"/>
    <w:rsid w:val="0005001C"/>
    <w:rsid w:val="000503F8"/>
    <w:rsid w:val="00051A78"/>
    <w:rsid w:val="00051E68"/>
    <w:rsid w:val="00051E69"/>
    <w:rsid w:val="00052AF0"/>
    <w:rsid w:val="00054E02"/>
    <w:rsid w:val="00055AC2"/>
    <w:rsid w:val="000561FF"/>
    <w:rsid w:val="00060DDE"/>
    <w:rsid w:val="000610F8"/>
    <w:rsid w:val="00066324"/>
    <w:rsid w:val="0006762D"/>
    <w:rsid w:val="00067BB2"/>
    <w:rsid w:val="00067BEF"/>
    <w:rsid w:val="00067ED7"/>
    <w:rsid w:val="00071345"/>
    <w:rsid w:val="000728AD"/>
    <w:rsid w:val="000760C7"/>
    <w:rsid w:val="0007665B"/>
    <w:rsid w:val="000768E3"/>
    <w:rsid w:val="00077B41"/>
    <w:rsid w:val="00077C41"/>
    <w:rsid w:val="0008151F"/>
    <w:rsid w:val="00083B46"/>
    <w:rsid w:val="00084E4B"/>
    <w:rsid w:val="00085F61"/>
    <w:rsid w:val="00087387"/>
    <w:rsid w:val="00094295"/>
    <w:rsid w:val="00094B23"/>
    <w:rsid w:val="00096E97"/>
    <w:rsid w:val="000974FA"/>
    <w:rsid w:val="000B1064"/>
    <w:rsid w:val="000B1740"/>
    <w:rsid w:val="000B1A56"/>
    <w:rsid w:val="000B32D7"/>
    <w:rsid w:val="000C3354"/>
    <w:rsid w:val="000C4446"/>
    <w:rsid w:val="000C730D"/>
    <w:rsid w:val="000C7338"/>
    <w:rsid w:val="000C79A6"/>
    <w:rsid w:val="000D08AE"/>
    <w:rsid w:val="000D0D14"/>
    <w:rsid w:val="000D29C5"/>
    <w:rsid w:val="000E062F"/>
    <w:rsid w:val="000E1809"/>
    <w:rsid w:val="000E4639"/>
    <w:rsid w:val="000E7A07"/>
    <w:rsid w:val="000F0094"/>
    <w:rsid w:val="000F5A18"/>
    <w:rsid w:val="00101197"/>
    <w:rsid w:val="00102DF8"/>
    <w:rsid w:val="001045A8"/>
    <w:rsid w:val="001048C3"/>
    <w:rsid w:val="001065D6"/>
    <w:rsid w:val="00107094"/>
    <w:rsid w:val="00107869"/>
    <w:rsid w:val="00107CBA"/>
    <w:rsid w:val="00111165"/>
    <w:rsid w:val="00112539"/>
    <w:rsid w:val="0011624F"/>
    <w:rsid w:val="00116B66"/>
    <w:rsid w:val="00116E7A"/>
    <w:rsid w:val="001174DE"/>
    <w:rsid w:val="0012089C"/>
    <w:rsid w:val="00120F99"/>
    <w:rsid w:val="00121291"/>
    <w:rsid w:val="00125BC2"/>
    <w:rsid w:val="00127FD0"/>
    <w:rsid w:val="001306C9"/>
    <w:rsid w:val="00130EA6"/>
    <w:rsid w:val="00131BFA"/>
    <w:rsid w:val="001345C2"/>
    <w:rsid w:val="00140197"/>
    <w:rsid w:val="00141E14"/>
    <w:rsid w:val="00144D9B"/>
    <w:rsid w:val="001478E2"/>
    <w:rsid w:val="00147A16"/>
    <w:rsid w:val="001502EC"/>
    <w:rsid w:val="00151228"/>
    <w:rsid w:val="00151A58"/>
    <w:rsid w:val="00154E74"/>
    <w:rsid w:val="001565B5"/>
    <w:rsid w:val="00157DCF"/>
    <w:rsid w:val="001600EF"/>
    <w:rsid w:val="00162977"/>
    <w:rsid w:val="001630F6"/>
    <w:rsid w:val="001633BD"/>
    <w:rsid w:val="00163E4E"/>
    <w:rsid w:val="00164C28"/>
    <w:rsid w:val="00171373"/>
    <w:rsid w:val="001724B7"/>
    <w:rsid w:val="00172E5A"/>
    <w:rsid w:val="0017310E"/>
    <w:rsid w:val="00173B17"/>
    <w:rsid w:val="00174D81"/>
    <w:rsid w:val="00174F5C"/>
    <w:rsid w:val="00175088"/>
    <w:rsid w:val="001759D9"/>
    <w:rsid w:val="00176D52"/>
    <w:rsid w:val="00177360"/>
    <w:rsid w:val="0017736B"/>
    <w:rsid w:val="00177F34"/>
    <w:rsid w:val="001801F1"/>
    <w:rsid w:val="00182A7D"/>
    <w:rsid w:val="001838EE"/>
    <w:rsid w:val="00184AD9"/>
    <w:rsid w:val="00185521"/>
    <w:rsid w:val="00187101"/>
    <w:rsid w:val="0019027D"/>
    <w:rsid w:val="00190DBA"/>
    <w:rsid w:val="0019343F"/>
    <w:rsid w:val="00193925"/>
    <w:rsid w:val="001A0009"/>
    <w:rsid w:val="001A2031"/>
    <w:rsid w:val="001A3158"/>
    <w:rsid w:val="001A4C28"/>
    <w:rsid w:val="001A5008"/>
    <w:rsid w:val="001A5A5E"/>
    <w:rsid w:val="001A5B95"/>
    <w:rsid w:val="001A5E12"/>
    <w:rsid w:val="001A7321"/>
    <w:rsid w:val="001A7947"/>
    <w:rsid w:val="001B01B3"/>
    <w:rsid w:val="001B0827"/>
    <w:rsid w:val="001B3CDB"/>
    <w:rsid w:val="001B44EC"/>
    <w:rsid w:val="001B6B68"/>
    <w:rsid w:val="001B6DEA"/>
    <w:rsid w:val="001C0C58"/>
    <w:rsid w:val="001C17CA"/>
    <w:rsid w:val="001C26DE"/>
    <w:rsid w:val="001C4A1F"/>
    <w:rsid w:val="001C4AE8"/>
    <w:rsid w:val="001C5A8B"/>
    <w:rsid w:val="001C666F"/>
    <w:rsid w:val="001C7198"/>
    <w:rsid w:val="001C7226"/>
    <w:rsid w:val="001D0F5B"/>
    <w:rsid w:val="001D157F"/>
    <w:rsid w:val="001D6E1E"/>
    <w:rsid w:val="001D6EB7"/>
    <w:rsid w:val="001D75D0"/>
    <w:rsid w:val="001D7FCF"/>
    <w:rsid w:val="001E2147"/>
    <w:rsid w:val="001E5782"/>
    <w:rsid w:val="001E631E"/>
    <w:rsid w:val="001F0633"/>
    <w:rsid w:val="001F087A"/>
    <w:rsid w:val="001F103A"/>
    <w:rsid w:val="001F1B24"/>
    <w:rsid w:val="001F253F"/>
    <w:rsid w:val="001F2FE6"/>
    <w:rsid w:val="001F302F"/>
    <w:rsid w:val="001F3051"/>
    <w:rsid w:val="001F35E5"/>
    <w:rsid w:val="001F6C78"/>
    <w:rsid w:val="002009B6"/>
    <w:rsid w:val="00201CB6"/>
    <w:rsid w:val="00202176"/>
    <w:rsid w:val="002027AE"/>
    <w:rsid w:val="00202D32"/>
    <w:rsid w:val="00203D90"/>
    <w:rsid w:val="00204737"/>
    <w:rsid w:val="00204A9B"/>
    <w:rsid w:val="00207C49"/>
    <w:rsid w:val="00212209"/>
    <w:rsid w:val="00212A73"/>
    <w:rsid w:val="00212F5B"/>
    <w:rsid w:val="00214882"/>
    <w:rsid w:val="0021507D"/>
    <w:rsid w:val="002152A2"/>
    <w:rsid w:val="0021597F"/>
    <w:rsid w:val="00216174"/>
    <w:rsid w:val="002167CD"/>
    <w:rsid w:val="002227C1"/>
    <w:rsid w:val="0022323C"/>
    <w:rsid w:val="0022344B"/>
    <w:rsid w:val="00223B50"/>
    <w:rsid w:val="00224A4A"/>
    <w:rsid w:val="00224A55"/>
    <w:rsid w:val="00226FE2"/>
    <w:rsid w:val="00230510"/>
    <w:rsid w:val="0023337A"/>
    <w:rsid w:val="00233BAA"/>
    <w:rsid w:val="00235351"/>
    <w:rsid w:val="0023609C"/>
    <w:rsid w:val="002374C7"/>
    <w:rsid w:val="0023771B"/>
    <w:rsid w:val="00240449"/>
    <w:rsid w:val="002414E9"/>
    <w:rsid w:val="0024183B"/>
    <w:rsid w:val="00241DB4"/>
    <w:rsid w:val="00243CF8"/>
    <w:rsid w:val="002446EC"/>
    <w:rsid w:val="00245B41"/>
    <w:rsid w:val="00246E3B"/>
    <w:rsid w:val="0024787A"/>
    <w:rsid w:val="00247A6D"/>
    <w:rsid w:val="00247FAD"/>
    <w:rsid w:val="0025135F"/>
    <w:rsid w:val="00251842"/>
    <w:rsid w:val="002562CB"/>
    <w:rsid w:val="00263DE5"/>
    <w:rsid w:val="00266C40"/>
    <w:rsid w:val="002740C3"/>
    <w:rsid w:val="00275C75"/>
    <w:rsid w:val="00276F8B"/>
    <w:rsid w:val="00281746"/>
    <w:rsid w:val="00281A9D"/>
    <w:rsid w:val="0028410B"/>
    <w:rsid w:val="00286335"/>
    <w:rsid w:val="0029494A"/>
    <w:rsid w:val="00296316"/>
    <w:rsid w:val="002968EC"/>
    <w:rsid w:val="0029693C"/>
    <w:rsid w:val="002A1EB5"/>
    <w:rsid w:val="002A39C9"/>
    <w:rsid w:val="002A3F30"/>
    <w:rsid w:val="002A48F4"/>
    <w:rsid w:val="002A63EB"/>
    <w:rsid w:val="002B098D"/>
    <w:rsid w:val="002B2192"/>
    <w:rsid w:val="002B3794"/>
    <w:rsid w:val="002B50AA"/>
    <w:rsid w:val="002C1C15"/>
    <w:rsid w:val="002C33CD"/>
    <w:rsid w:val="002C6468"/>
    <w:rsid w:val="002C6B3F"/>
    <w:rsid w:val="002C79CF"/>
    <w:rsid w:val="002C7B03"/>
    <w:rsid w:val="002D56B1"/>
    <w:rsid w:val="002D6FD3"/>
    <w:rsid w:val="002D7349"/>
    <w:rsid w:val="002E28F3"/>
    <w:rsid w:val="002E79E9"/>
    <w:rsid w:val="002E7AB1"/>
    <w:rsid w:val="002E7BB0"/>
    <w:rsid w:val="002F1731"/>
    <w:rsid w:val="002F362B"/>
    <w:rsid w:val="002F378C"/>
    <w:rsid w:val="002F3D70"/>
    <w:rsid w:val="002F4017"/>
    <w:rsid w:val="002F5E78"/>
    <w:rsid w:val="002F63CA"/>
    <w:rsid w:val="002F65F2"/>
    <w:rsid w:val="002F6885"/>
    <w:rsid w:val="00300C02"/>
    <w:rsid w:val="00301C1F"/>
    <w:rsid w:val="0030276E"/>
    <w:rsid w:val="0030360E"/>
    <w:rsid w:val="0030479F"/>
    <w:rsid w:val="00304955"/>
    <w:rsid w:val="0030604A"/>
    <w:rsid w:val="00306B34"/>
    <w:rsid w:val="00306F32"/>
    <w:rsid w:val="00307859"/>
    <w:rsid w:val="003078AC"/>
    <w:rsid w:val="00310B05"/>
    <w:rsid w:val="0031143D"/>
    <w:rsid w:val="00312867"/>
    <w:rsid w:val="00317256"/>
    <w:rsid w:val="00321F4C"/>
    <w:rsid w:val="00325DD0"/>
    <w:rsid w:val="00326477"/>
    <w:rsid w:val="003304DB"/>
    <w:rsid w:val="00333FD1"/>
    <w:rsid w:val="003340FB"/>
    <w:rsid w:val="0033423D"/>
    <w:rsid w:val="00335253"/>
    <w:rsid w:val="00336444"/>
    <w:rsid w:val="00336625"/>
    <w:rsid w:val="003411CE"/>
    <w:rsid w:val="0034630C"/>
    <w:rsid w:val="003469EB"/>
    <w:rsid w:val="0034781D"/>
    <w:rsid w:val="00347C0D"/>
    <w:rsid w:val="003522B7"/>
    <w:rsid w:val="00352F3B"/>
    <w:rsid w:val="00353BB2"/>
    <w:rsid w:val="00357B56"/>
    <w:rsid w:val="0036106A"/>
    <w:rsid w:val="00362D14"/>
    <w:rsid w:val="003670DE"/>
    <w:rsid w:val="003673D0"/>
    <w:rsid w:val="00367C30"/>
    <w:rsid w:val="00370923"/>
    <w:rsid w:val="00372B8C"/>
    <w:rsid w:val="003733FD"/>
    <w:rsid w:val="003736BA"/>
    <w:rsid w:val="00377BDC"/>
    <w:rsid w:val="00380046"/>
    <w:rsid w:val="00380053"/>
    <w:rsid w:val="00381FD9"/>
    <w:rsid w:val="0038203A"/>
    <w:rsid w:val="00384B07"/>
    <w:rsid w:val="00386781"/>
    <w:rsid w:val="0038721C"/>
    <w:rsid w:val="00387BAF"/>
    <w:rsid w:val="00392C55"/>
    <w:rsid w:val="0039624E"/>
    <w:rsid w:val="00396D69"/>
    <w:rsid w:val="003A082D"/>
    <w:rsid w:val="003A14DD"/>
    <w:rsid w:val="003A2B09"/>
    <w:rsid w:val="003A2F08"/>
    <w:rsid w:val="003A42FB"/>
    <w:rsid w:val="003A472B"/>
    <w:rsid w:val="003A5BDA"/>
    <w:rsid w:val="003A6543"/>
    <w:rsid w:val="003B016B"/>
    <w:rsid w:val="003B0728"/>
    <w:rsid w:val="003B07E0"/>
    <w:rsid w:val="003B0A97"/>
    <w:rsid w:val="003B1C1A"/>
    <w:rsid w:val="003B1D67"/>
    <w:rsid w:val="003B2792"/>
    <w:rsid w:val="003B3E94"/>
    <w:rsid w:val="003B59F2"/>
    <w:rsid w:val="003B5CEB"/>
    <w:rsid w:val="003B7971"/>
    <w:rsid w:val="003B7E04"/>
    <w:rsid w:val="003C1296"/>
    <w:rsid w:val="003C6291"/>
    <w:rsid w:val="003D0EC7"/>
    <w:rsid w:val="003D549D"/>
    <w:rsid w:val="003D69C6"/>
    <w:rsid w:val="003E013C"/>
    <w:rsid w:val="003E0232"/>
    <w:rsid w:val="003E0870"/>
    <w:rsid w:val="003E1378"/>
    <w:rsid w:val="003E1630"/>
    <w:rsid w:val="003E34B7"/>
    <w:rsid w:val="003E3A26"/>
    <w:rsid w:val="003E5336"/>
    <w:rsid w:val="003E7D6C"/>
    <w:rsid w:val="003F3073"/>
    <w:rsid w:val="003F5C39"/>
    <w:rsid w:val="003F5D62"/>
    <w:rsid w:val="003F7DC6"/>
    <w:rsid w:val="00401750"/>
    <w:rsid w:val="004021D8"/>
    <w:rsid w:val="004065CE"/>
    <w:rsid w:val="00406C6C"/>
    <w:rsid w:val="004074BC"/>
    <w:rsid w:val="00411B4A"/>
    <w:rsid w:val="0041204A"/>
    <w:rsid w:val="004122B1"/>
    <w:rsid w:val="00414F4A"/>
    <w:rsid w:val="00416645"/>
    <w:rsid w:val="00420543"/>
    <w:rsid w:val="00423CCF"/>
    <w:rsid w:val="004255D5"/>
    <w:rsid w:val="00427A47"/>
    <w:rsid w:val="00430FEE"/>
    <w:rsid w:val="00431CF3"/>
    <w:rsid w:val="004353C1"/>
    <w:rsid w:val="00437B5B"/>
    <w:rsid w:val="00443EE2"/>
    <w:rsid w:val="004441E9"/>
    <w:rsid w:val="00444DB5"/>
    <w:rsid w:val="004456A8"/>
    <w:rsid w:val="004457A7"/>
    <w:rsid w:val="00445A25"/>
    <w:rsid w:val="00446B7B"/>
    <w:rsid w:val="00446D66"/>
    <w:rsid w:val="004517D9"/>
    <w:rsid w:val="00451E02"/>
    <w:rsid w:val="00452CF5"/>
    <w:rsid w:val="00452F44"/>
    <w:rsid w:val="004556A4"/>
    <w:rsid w:val="0045575A"/>
    <w:rsid w:val="0045671A"/>
    <w:rsid w:val="00461C84"/>
    <w:rsid w:val="00464CE2"/>
    <w:rsid w:val="004671D5"/>
    <w:rsid w:val="004674AA"/>
    <w:rsid w:val="00467DC2"/>
    <w:rsid w:val="00470804"/>
    <w:rsid w:val="00472A13"/>
    <w:rsid w:val="00472E0D"/>
    <w:rsid w:val="004747FC"/>
    <w:rsid w:val="004751B4"/>
    <w:rsid w:val="0047573F"/>
    <w:rsid w:val="0047596A"/>
    <w:rsid w:val="004769AE"/>
    <w:rsid w:val="00476D9F"/>
    <w:rsid w:val="00480014"/>
    <w:rsid w:val="004804AC"/>
    <w:rsid w:val="004816B7"/>
    <w:rsid w:val="00482544"/>
    <w:rsid w:val="0048290E"/>
    <w:rsid w:val="0048511C"/>
    <w:rsid w:val="004876B7"/>
    <w:rsid w:val="00490B85"/>
    <w:rsid w:val="0049150D"/>
    <w:rsid w:val="004917B1"/>
    <w:rsid w:val="00492A73"/>
    <w:rsid w:val="00492FD2"/>
    <w:rsid w:val="004950E2"/>
    <w:rsid w:val="004A0751"/>
    <w:rsid w:val="004A18F4"/>
    <w:rsid w:val="004A3386"/>
    <w:rsid w:val="004A3542"/>
    <w:rsid w:val="004A56DB"/>
    <w:rsid w:val="004A71E6"/>
    <w:rsid w:val="004A7E08"/>
    <w:rsid w:val="004A7EDA"/>
    <w:rsid w:val="004B0A8F"/>
    <w:rsid w:val="004B12E4"/>
    <w:rsid w:val="004B1711"/>
    <w:rsid w:val="004B2674"/>
    <w:rsid w:val="004B2BB8"/>
    <w:rsid w:val="004B478D"/>
    <w:rsid w:val="004B6BA1"/>
    <w:rsid w:val="004B7CEA"/>
    <w:rsid w:val="004C0B39"/>
    <w:rsid w:val="004C1782"/>
    <w:rsid w:val="004D1E87"/>
    <w:rsid w:val="004D41B4"/>
    <w:rsid w:val="004D4336"/>
    <w:rsid w:val="004D5862"/>
    <w:rsid w:val="004D6AAB"/>
    <w:rsid w:val="004D7908"/>
    <w:rsid w:val="004E02F7"/>
    <w:rsid w:val="004E22D9"/>
    <w:rsid w:val="004E2636"/>
    <w:rsid w:val="004E3009"/>
    <w:rsid w:val="004E3A3F"/>
    <w:rsid w:val="004E4DC3"/>
    <w:rsid w:val="004E61F5"/>
    <w:rsid w:val="004E78A1"/>
    <w:rsid w:val="004F1E1E"/>
    <w:rsid w:val="004F3691"/>
    <w:rsid w:val="004F39BE"/>
    <w:rsid w:val="004F4A5C"/>
    <w:rsid w:val="004F5388"/>
    <w:rsid w:val="004F5A16"/>
    <w:rsid w:val="004F6EC3"/>
    <w:rsid w:val="004F75EC"/>
    <w:rsid w:val="005015DE"/>
    <w:rsid w:val="0050302A"/>
    <w:rsid w:val="005032CA"/>
    <w:rsid w:val="00503AD4"/>
    <w:rsid w:val="00503B90"/>
    <w:rsid w:val="00504915"/>
    <w:rsid w:val="00504C7E"/>
    <w:rsid w:val="005051E4"/>
    <w:rsid w:val="00505440"/>
    <w:rsid w:val="00506AF1"/>
    <w:rsid w:val="00507494"/>
    <w:rsid w:val="00510845"/>
    <w:rsid w:val="00511092"/>
    <w:rsid w:val="00512497"/>
    <w:rsid w:val="00513B60"/>
    <w:rsid w:val="0051425A"/>
    <w:rsid w:val="00515DF8"/>
    <w:rsid w:val="00516A1A"/>
    <w:rsid w:val="0052014E"/>
    <w:rsid w:val="00520D14"/>
    <w:rsid w:val="00522446"/>
    <w:rsid w:val="005244DF"/>
    <w:rsid w:val="00525D1C"/>
    <w:rsid w:val="00525F63"/>
    <w:rsid w:val="00526A0D"/>
    <w:rsid w:val="00532709"/>
    <w:rsid w:val="005411FD"/>
    <w:rsid w:val="0054249F"/>
    <w:rsid w:val="00542FFB"/>
    <w:rsid w:val="00546F5A"/>
    <w:rsid w:val="00547466"/>
    <w:rsid w:val="00547B0D"/>
    <w:rsid w:val="00547C24"/>
    <w:rsid w:val="00547FDF"/>
    <w:rsid w:val="00551350"/>
    <w:rsid w:val="00551962"/>
    <w:rsid w:val="00555DF7"/>
    <w:rsid w:val="00555F9D"/>
    <w:rsid w:val="005567E0"/>
    <w:rsid w:val="00557D9D"/>
    <w:rsid w:val="0056062B"/>
    <w:rsid w:val="005644DA"/>
    <w:rsid w:val="00564C48"/>
    <w:rsid w:val="00565CFF"/>
    <w:rsid w:val="0056631E"/>
    <w:rsid w:val="00567E56"/>
    <w:rsid w:val="0057264C"/>
    <w:rsid w:val="00572ECC"/>
    <w:rsid w:val="00573410"/>
    <w:rsid w:val="0057549C"/>
    <w:rsid w:val="0057586F"/>
    <w:rsid w:val="00576714"/>
    <w:rsid w:val="00576FE3"/>
    <w:rsid w:val="00580B89"/>
    <w:rsid w:val="00584A35"/>
    <w:rsid w:val="00584A6D"/>
    <w:rsid w:val="00587557"/>
    <w:rsid w:val="00587FFC"/>
    <w:rsid w:val="00591361"/>
    <w:rsid w:val="005928B5"/>
    <w:rsid w:val="00594BC0"/>
    <w:rsid w:val="00594D17"/>
    <w:rsid w:val="0059558D"/>
    <w:rsid w:val="00596243"/>
    <w:rsid w:val="00596754"/>
    <w:rsid w:val="005973B3"/>
    <w:rsid w:val="00597B30"/>
    <w:rsid w:val="005A2077"/>
    <w:rsid w:val="005A2DFF"/>
    <w:rsid w:val="005A36CC"/>
    <w:rsid w:val="005A3D3E"/>
    <w:rsid w:val="005A7064"/>
    <w:rsid w:val="005A7FBF"/>
    <w:rsid w:val="005B117C"/>
    <w:rsid w:val="005B2D56"/>
    <w:rsid w:val="005B3E6A"/>
    <w:rsid w:val="005B63A8"/>
    <w:rsid w:val="005C1DD4"/>
    <w:rsid w:val="005C335D"/>
    <w:rsid w:val="005C4D2B"/>
    <w:rsid w:val="005C4F72"/>
    <w:rsid w:val="005C5103"/>
    <w:rsid w:val="005D0845"/>
    <w:rsid w:val="005D27C0"/>
    <w:rsid w:val="005D30FC"/>
    <w:rsid w:val="005D4985"/>
    <w:rsid w:val="005D5A82"/>
    <w:rsid w:val="005D65D2"/>
    <w:rsid w:val="005D7AA7"/>
    <w:rsid w:val="005E11CF"/>
    <w:rsid w:val="005E4F51"/>
    <w:rsid w:val="005E5B4D"/>
    <w:rsid w:val="005E7F60"/>
    <w:rsid w:val="005F2C1B"/>
    <w:rsid w:val="005F32E6"/>
    <w:rsid w:val="005F4216"/>
    <w:rsid w:val="005F6BC3"/>
    <w:rsid w:val="005F6C5B"/>
    <w:rsid w:val="006005D2"/>
    <w:rsid w:val="00600C26"/>
    <w:rsid w:val="00600D8C"/>
    <w:rsid w:val="00601394"/>
    <w:rsid w:val="00601C23"/>
    <w:rsid w:val="00602347"/>
    <w:rsid w:val="00602877"/>
    <w:rsid w:val="00603503"/>
    <w:rsid w:val="0060481C"/>
    <w:rsid w:val="00605483"/>
    <w:rsid w:val="00605C8A"/>
    <w:rsid w:val="0060703D"/>
    <w:rsid w:val="006076B2"/>
    <w:rsid w:val="006102F6"/>
    <w:rsid w:val="006110E0"/>
    <w:rsid w:val="00611C70"/>
    <w:rsid w:val="00612E47"/>
    <w:rsid w:val="006133E0"/>
    <w:rsid w:val="00614D0C"/>
    <w:rsid w:val="00616471"/>
    <w:rsid w:val="00616DCA"/>
    <w:rsid w:val="00622964"/>
    <w:rsid w:val="0062308D"/>
    <w:rsid w:val="00623D68"/>
    <w:rsid w:val="00624F52"/>
    <w:rsid w:val="00625FED"/>
    <w:rsid w:val="00626C83"/>
    <w:rsid w:val="0062758E"/>
    <w:rsid w:val="0063049B"/>
    <w:rsid w:val="00641A83"/>
    <w:rsid w:val="0064210E"/>
    <w:rsid w:val="006428E0"/>
    <w:rsid w:val="00642DB6"/>
    <w:rsid w:val="00653E93"/>
    <w:rsid w:val="00654EBF"/>
    <w:rsid w:val="00657C8D"/>
    <w:rsid w:val="00657DB3"/>
    <w:rsid w:val="00661411"/>
    <w:rsid w:val="00662071"/>
    <w:rsid w:val="006652F7"/>
    <w:rsid w:val="00665D48"/>
    <w:rsid w:val="00665EF1"/>
    <w:rsid w:val="00667E8F"/>
    <w:rsid w:val="0067111F"/>
    <w:rsid w:val="00673EE3"/>
    <w:rsid w:val="00674748"/>
    <w:rsid w:val="00677C70"/>
    <w:rsid w:val="0068062E"/>
    <w:rsid w:val="00680D04"/>
    <w:rsid w:val="00681FBD"/>
    <w:rsid w:val="006821AE"/>
    <w:rsid w:val="00682293"/>
    <w:rsid w:val="0068284D"/>
    <w:rsid w:val="00682CEC"/>
    <w:rsid w:val="00684326"/>
    <w:rsid w:val="00687A3F"/>
    <w:rsid w:val="00687C2C"/>
    <w:rsid w:val="00692A68"/>
    <w:rsid w:val="0069570A"/>
    <w:rsid w:val="006966EB"/>
    <w:rsid w:val="006A05C7"/>
    <w:rsid w:val="006A16B4"/>
    <w:rsid w:val="006A1853"/>
    <w:rsid w:val="006A21EB"/>
    <w:rsid w:val="006A4CB4"/>
    <w:rsid w:val="006B06F1"/>
    <w:rsid w:val="006B1E1D"/>
    <w:rsid w:val="006B2830"/>
    <w:rsid w:val="006B3E34"/>
    <w:rsid w:val="006B4F7B"/>
    <w:rsid w:val="006B5575"/>
    <w:rsid w:val="006C02AB"/>
    <w:rsid w:val="006C1FAF"/>
    <w:rsid w:val="006C5CDE"/>
    <w:rsid w:val="006C6579"/>
    <w:rsid w:val="006C6986"/>
    <w:rsid w:val="006C7A3A"/>
    <w:rsid w:val="006D034B"/>
    <w:rsid w:val="006D147E"/>
    <w:rsid w:val="006D1D5A"/>
    <w:rsid w:val="006D1FB8"/>
    <w:rsid w:val="006D22BB"/>
    <w:rsid w:val="006D2C0F"/>
    <w:rsid w:val="006D3FF4"/>
    <w:rsid w:val="006D6496"/>
    <w:rsid w:val="006E248A"/>
    <w:rsid w:val="006E27E2"/>
    <w:rsid w:val="006E4415"/>
    <w:rsid w:val="006E517C"/>
    <w:rsid w:val="006E71A0"/>
    <w:rsid w:val="006E7D22"/>
    <w:rsid w:val="006F278C"/>
    <w:rsid w:val="006F37F0"/>
    <w:rsid w:val="006F4285"/>
    <w:rsid w:val="006F45F4"/>
    <w:rsid w:val="006F6837"/>
    <w:rsid w:val="00700A97"/>
    <w:rsid w:val="00701ED6"/>
    <w:rsid w:val="007022BA"/>
    <w:rsid w:val="007024E6"/>
    <w:rsid w:val="00702F79"/>
    <w:rsid w:val="00704E55"/>
    <w:rsid w:val="00706102"/>
    <w:rsid w:val="007063F6"/>
    <w:rsid w:val="0071065C"/>
    <w:rsid w:val="00712DE7"/>
    <w:rsid w:val="0071387F"/>
    <w:rsid w:val="00715699"/>
    <w:rsid w:val="00717221"/>
    <w:rsid w:val="00717606"/>
    <w:rsid w:val="00717BBD"/>
    <w:rsid w:val="00717C72"/>
    <w:rsid w:val="00717C90"/>
    <w:rsid w:val="00720389"/>
    <w:rsid w:val="00720E24"/>
    <w:rsid w:val="00725856"/>
    <w:rsid w:val="00726D79"/>
    <w:rsid w:val="00726F9E"/>
    <w:rsid w:val="007273FA"/>
    <w:rsid w:val="0072777E"/>
    <w:rsid w:val="00730983"/>
    <w:rsid w:val="0073586E"/>
    <w:rsid w:val="00740164"/>
    <w:rsid w:val="007404C5"/>
    <w:rsid w:val="00741707"/>
    <w:rsid w:val="007437C1"/>
    <w:rsid w:val="007452BD"/>
    <w:rsid w:val="00746BE2"/>
    <w:rsid w:val="00747FFC"/>
    <w:rsid w:val="00754683"/>
    <w:rsid w:val="007555F9"/>
    <w:rsid w:val="00756C59"/>
    <w:rsid w:val="007576AC"/>
    <w:rsid w:val="00760A99"/>
    <w:rsid w:val="00763FF6"/>
    <w:rsid w:val="00764970"/>
    <w:rsid w:val="00764DF4"/>
    <w:rsid w:val="0076589E"/>
    <w:rsid w:val="00767222"/>
    <w:rsid w:val="00770218"/>
    <w:rsid w:val="0077097F"/>
    <w:rsid w:val="00771543"/>
    <w:rsid w:val="00772B86"/>
    <w:rsid w:val="007738A8"/>
    <w:rsid w:val="00773F4F"/>
    <w:rsid w:val="007746FC"/>
    <w:rsid w:val="00774DB8"/>
    <w:rsid w:val="0077548F"/>
    <w:rsid w:val="0077580B"/>
    <w:rsid w:val="0077685B"/>
    <w:rsid w:val="007768DD"/>
    <w:rsid w:val="0078059E"/>
    <w:rsid w:val="0078432B"/>
    <w:rsid w:val="00784D93"/>
    <w:rsid w:val="007865C8"/>
    <w:rsid w:val="00787737"/>
    <w:rsid w:val="00787A8A"/>
    <w:rsid w:val="00790985"/>
    <w:rsid w:val="0079174C"/>
    <w:rsid w:val="00794564"/>
    <w:rsid w:val="0079507C"/>
    <w:rsid w:val="007952BB"/>
    <w:rsid w:val="00797C04"/>
    <w:rsid w:val="007A13C3"/>
    <w:rsid w:val="007A1BFD"/>
    <w:rsid w:val="007A6460"/>
    <w:rsid w:val="007A71D0"/>
    <w:rsid w:val="007B0D01"/>
    <w:rsid w:val="007B2209"/>
    <w:rsid w:val="007B4F19"/>
    <w:rsid w:val="007B5121"/>
    <w:rsid w:val="007B5B31"/>
    <w:rsid w:val="007C20E4"/>
    <w:rsid w:val="007C3C43"/>
    <w:rsid w:val="007D12A5"/>
    <w:rsid w:val="007D2EF2"/>
    <w:rsid w:val="007D3C8D"/>
    <w:rsid w:val="007D4E61"/>
    <w:rsid w:val="007D5AD6"/>
    <w:rsid w:val="007D685D"/>
    <w:rsid w:val="007D6B95"/>
    <w:rsid w:val="007E07A4"/>
    <w:rsid w:val="007E1A9F"/>
    <w:rsid w:val="007E5EA5"/>
    <w:rsid w:val="007E7B86"/>
    <w:rsid w:val="007F321E"/>
    <w:rsid w:val="007F64D2"/>
    <w:rsid w:val="0080060E"/>
    <w:rsid w:val="00802745"/>
    <w:rsid w:val="00802C87"/>
    <w:rsid w:val="00810672"/>
    <w:rsid w:val="00812161"/>
    <w:rsid w:val="00812886"/>
    <w:rsid w:val="00812FEB"/>
    <w:rsid w:val="008166EC"/>
    <w:rsid w:val="008170F3"/>
    <w:rsid w:val="00817570"/>
    <w:rsid w:val="0082037E"/>
    <w:rsid w:val="00820758"/>
    <w:rsid w:val="00820BE1"/>
    <w:rsid w:val="00820C6A"/>
    <w:rsid w:val="008214CD"/>
    <w:rsid w:val="0082427B"/>
    <w:rsid w:val="00824AE7"/>
    <w:rsid w:val="0082594D"/>
    <w:rsid w:val="00825BDD"/>
    <w:rsid w:val="008263F5"/>
    <w:rsid w:val="00827282"/>
    <w:rsid w:val="00831277"/>
    <w:rsid w:val="00831AA2"/>
    <w:rsid w:val="00833304"/>
    <w:rsid w:val="00834810"/>
    <w:rsid w:val="00835347"/>
    <w:rsid w:val="00837B46"/>
    <w:rsid w:val="00840E43"/>
    <w:rsid w:val="00841F07"/>
    <w:rsid w:val="008428E8"/>
    <w:rsid w:val="00847999"/>
    <w:rsid w:val="00850146"/>
    <w:rsid w:val="008503B8"/>
    <w:rsid w:val="008506AD"/>
    <w:rsid w:val="0085076A"/>
    <w:rsid w:val="008513B6"/>
    <w:rsid w:val="00852B95"/>
    <w:rsid w:val="008531FF"/>
    <w:rsid w:val="00855010"/>
    <w:rsid w:val="00861A7B"/>
    <w:rsid w:val="00861B75"/>
    <w:rsid w:val="00862029"/>
    <w:rsid w:val="008623E2"/>
    <w:rsid w:val="00863208"/>
    <w:rsid w:val="0086393D"/>
    <w:rsid w:val="008656C3"/>
    <w:rsid w:val="008659C1"/>
    <w:rsid w:val="00865B32"/>
    <w:rsid w:val="0086614F"/>
    <w:rsid w:val="0087003A"/>
    <w:rsid w:val="00872367"/>
    <w:rsid w:val="00873869"/>
    <w:rsid w:val="0087601D"/>
    <w:rsid w:val="00876189"/>
    <w:rsid w:val="00876CC8"/>
    <w:rsid w:val="00877401"/>
    <w:rsid w:val="008779CC"/>
    <w:rsid w:val="00881AC2"/>
    <w:rsid w:val="00883312"/>
    <w:rsid w:val="00883F45"/>
    <w:rsid w:val="00885876"/>
    <w:rsid w:val="008858C7"/>
    <w:rsid w:val="0088640C"/>
    <w:rsid w:val="00886A99"/>
    <w:rsid w:val="00886D8C"/>
    <w:rsid w:val="00886E14"/>
    <w:rsid w:val="00887EF5"/>
    <w:rsid w:val="008922A5"/>
    <w:rsid w:val="008937D2"/>
    <w:rsid w:val="00894E75"/>
    <w:rsid w:val="00895046"/>
    <w:rsid w:val="00895A33"/>
    <w:rsid w:val="0089664B"/>
    <w:rsid w:val="00896BCD"/>
    <w:rsid w:val="008A2313"/>
    <w:rsid w:val="008A2BE9"/>
    <w:rsid w:val="008A655C"/>
    <w:rsid w:val="008A79A7"/>
    <w:rsid w:val="008B0590"/>
    <w:rsid w:val="008B3B25"/>
    <w:rsid w:val="008B433E"/>
    <w:rsid w:val="008B571E"/>
    <w:rsid w:val="008B5B68"/>
    <w:rsid w:val="008B5E3A"/>
    <w:rsid w:val="008B6CCA"/>
    <w:rsid w:val="008C0247"/>
    <w:rsid w:val="008C14A7"/>
    <w:rsid w:val="008C240C"/>
    <w:rsid w:val="008C26FD"/>
    <w:rsid w:val="008C310F"/>
    <w:rsid w:val="008C3DD2"/>
    <w:rsid w:val="008C3EBD"/>
    <w:rsid w:val="008C4A23"/>
    <w:rsid w:val="008C65CC"/>
    <w:rsid w:val="008C6D55"/>
    <w:rsid w:val="008C759D"/>
    <w:rsid w:val="008C7C40"/>
    <w:rsid w:val="008D172D"/>
    <w:rsid w:val="008D1AAC"/>
    <w:rsid w:val="008D4B49"/>
    <w:rsid w:val="008D6253"/>
    <w:rsid w:val="008D791F"/>
    <w:rsid w:val="008D7E97"/>
    <w:rsid w:val="008E0206"/>
    <w:rsid w:val="008E3779"/>
    <w:rsid w:val="008E3ED3"/>
    <w:rsid w:val="008E4A87"/>
    <w:rsid w:val="008E6004"/>
    <w:rsid w:val="008F0B90"/>
    <w:rsid w:val="008F1E40"/>
    <w:rsid w:val="008F440E"/>
    <w:rsid w:val="008F4C6E"/>
    <w:rsid w:val="008F5231"/>
    <w:rsid w:val="008F5915"/>
    <w:rsid w:val="008F5A3B"/>
    <w:rsid w:val="008F72AD"/>
    <w:rsid w:val="0090039D"/>
    <w:rsid w:val="00901470"/>
    <w:rsid w:val="009029A1"/>
    <w:rsid w:val="009038D9"/>
    <w:rsid w:val="009041B2"/>
    <w:rsid w:val="00904718"/>
    <w:rsid w:val="00910A85"/>
    <w:rsid w:val="00910B5F"/>
    <w:rsid w:val="00911376"/>
    <w:rsid w:val="009125FB"/>
    <w:rsid w:val="00912989"/>
    <w:rsid w:val="00913DE9"/>
    <w:rsid w:val="00914008"/>
    <w:rsid w:val="0091402C"/>
    <w:rsid w:val="00915305"/>
    <w:rsid w:val="00915ADF"/>
    <w:rsid w:val="00916F46"/>
    <w:rsid w:val="00917681"/>
    <w:rsid w:val="0092146E"/>
    <w:rsid w:val="009216A4"/>
    <w:rsid w:val="009225A1"/>
    <w:rsid w:val="009230C3"/>
    <w:rsid w:val="00923A49"/>
    <w:rsid w:val="009242B7"/>
    <w:rsid w:val="009242BF"/>
    <w:rsid w:val="00925333"/>
    <w:rsid w:val="009259A4"/>
    <w:rsid w:val="00926E9F"/>
    <w:rsid w:val="00927640"/>
    <w:rsid w:val="00927706"/>
    <w:rsid w:val="00927AD2"/>
    <w:rsid w:val="00931F23"/>
    <w:rsid w:val="00932CBC"/>
    <w:rsid w:val="009344AF"/>
    <w:rsid w:val="00935A01"/>
    <w:rsid w:val="009379F6"/>
    <w:rsid w:val="00941BE2"/>
    <w:rsid w:val="00942C80"/>
    <w:rsid w:val="00943282"/>
    <w:rsid w:val="00943665"/>
    <w:rsid w:val="0094501C"/>
    <w:rsid w:val="0094532F"/>
    <w:rsid w:val="0094695D"/>
    <w:rsid w:val="00955EB5"/>
    <w:rsid w:val="00955ED8"/>
    <w:rsid w:val="00957570"/>
    <w:rsid w:val="00961E8D"/>
    <w:rsid w:val="009622C1"/>
    <w:rsid w:val="00964DC5"/>
    <w:rsid w:val="00965307"/>
    <w:rsid w:val="009667F6"/>
    <w:rsid w:val="009671BA"/>
    <w:rsid w:val="009673B9"/>
    <w:rsid w:val="0096794A"/>
    <w:rsid w:val="009679BC"/>
    <w:rsid w:val="009713FD"/>
    <w:rsid w:val="00971AA6"/>
    <w:rsid w:val="00971E70"/>
    <w:rsid w:val="0097445E"/>
    <w:rsid w:val="00974D7D"/>
    <w:rsid w:val="0097659D"/>
    <w:rsid w:val="0097783B"/>
    <w:rsid w:val="00977DF0"/>
    <w:rsid w:val="009806CE"/>
    <w:rsid w:val="00980D40"/>
    <w:rsid w:val="00981CBE"/>
    <w:rsid w:val="00982695"/>
    <w:rsid w:val="00984025"/>
    <w:rsid w:val="0098467E"/>
    <w:rsid w:val="009868B0"/>
    <w:rsid w:val="009932DF"/>
    <w:rsid w:val="00993506"/>
    <w:rsid w:val="009944D0"/>
    <w:rsid w:val="009948E9"/>
    <w:rsid w:val="009969E0"/>
    <w:rsid w:val="00997708"/>
    <w:rsid w:val="009A0A02"/>
    <w:rsid w:val="009A1FAA"/>
    <w:rsid w:val="009A3CA9"/>
    <w:rsid w:val="009A535F"/>
    <w:rsid w:val="009A6EB0"/>
    <w:rsid w:val="009A742F"/>
    <w:rsid w:val="009B0A4E"/>
    <w:rsid w:val="009B1456"/>
    <w:rsid w:val="009B5EA3"/>
    <w:rsid w:val="009B69DA"/>
    <w:rsid w:val="009C43C0"/>
    <w:rsid w:val="009C6360"/>
    <w:rsid w:val="009C685B"/>
    <w:rsid w:val="009C7228"/>
    <w:rsid w:val="009D20B8"/>
    <w:rsid w:val="009D2A93"/>
    <w:rsid w:val="009D31DA"/>
    <w:rsid w:val="009D31F6"/>
    <w:rsid w:val="009D4CE3"/>
    <w:rsid w:val="009D67F5"/>
    <w:rsid w:val="009E1561"/>
    <w:rsid w:val="009E2971"/>
    <w:rsid w:val="009E2C22"/>
    <w:rsid w:val="009E3B07"/>
    <w:rsid w:val="009E58D8"/>
    <w:rsid w:val="009F2196"/>
    <w:rsid w:val="009F4ADE"/>
    <w:rsid w:val="009F616C"/>
    <w:rsid w:val="009F6855"/>
    <w:rsid w:val="009F69A4"/>
    <w:rsid w:val="009F6E41"/>
    <w:rsid w:val="00A00A42"/>
    <w:rsid w:val="00A01176"/>
    <w:rsid w:val="00A015D3"/>
    <w:rsid w:val="00A023DF"/>
    <w:rsid w:val="00A0438A"/>
    <w:rsid w:val="00A044FE"/>
    <w:rsid w:val="00A04690"/>
    <w:rsid w:val="00A05516"/>
    <w:rsid w:val="00A07712"/>
    <w:rsid w:val="00A10E83"/>
    <w:rsid w:val="00A13741"/>
    <w:rsid w:val="00A1488E"/>
    <w:rsid w:val="00A14F90"/>
    <w:rsid w:val="00A161C4"/>
    <w:rsid w:val="00A17FAB"/>
    <w:rsid w:val="00A22552"/>
    <w:rsid w:val="00A25BD0"/>
    <w:rsid w:val="00A27745"/>
    <w:rsid w:val="00A30349"/>
    <w:rsid w:val="00A35E84"/>
    <w:rsid w:val="00A36961"/>
    <w:rsid w:val="00A36A2B"/>
    <w:rsid w:val="00A375D1"/>
    <w:rsid w:val="00A37A7D"/>
    <w:rsid w:val="00A402D3"/>
    <w:rsid w:val="00A409CD"/>
    <w:rsid w:val="00A41107"/>
    <w:rsid w:val="00A437C7"/>
    <w:rsid w:val="00A451D1"/>
    <w:rsid w:val="00A46526"/>
    <w:rsid w:val="00A46618"/>
    <w:rsid w:val="00A512E0"/>
    <w:rsid w:val="00A5155A"/>
    <w:rsid w:val="00A5375B"/>
    <w:rsid w:val="00A54524"/>
    <w:rsid w:val="00A54C42"/>
    <w:rsid w:val="00A6105D"/>
    <w:rsid w:val="00A61141"/>
    <w:rsid w:val="00A6216C"/>
    <w:rsid w:val="00A65D4C"/>
    <w:rsid w:val="00A66A5E"/>
    <w:rsid w:val="00A73EF1"/>
    <w:rsid w:val="00A76347"/>
    <w:rsid w:val="00A766F6"/>
    <w:rsid w:val="00A76966"/>
    <w:rsid w:val="00A77ABF"/>
    <w:rsid w:val="00A85301"/>
    <w:rsid w:val="00A85639"/>
    <w:rsid w:val="00A875AE"/>
    <w:rsid w:val="00A92239"/>
    <w:rsid w:val="00A9671C"/>
    <w:rsid w:val="00AA138E"/>
    <w:rsid w:val="00AA198A"/>
    <w:rsid w:val="00AA4509"/>
    <w:rsid w:val="00AA459D"/>
    <w:rsid w:val="00AA56A5"/>
    <w:rsid w:val="00AA57E3"/>
    <w:rsid w:val="00AA71FC"/>
    <w:rsid w:val="00AB2817"/>
    <w:rsid w:val="00AB2D29"/>
    <w:rsid w:val="00AB3CE5"/>
    <w:rsid w:val="00AB4177"/>
    <w:rsid w:val="00AB5F19"/>
    <w:rsid w:val="00AB7FD6"/>
    <w:rsid w:val="00AC0A24"/>
    <w:rsid w:val="00AC170D"/>
    <w:rsid w:val="00AC4B50"/>
    <w:rsid w:val="00AC6CF2"/>
    <w:rsid w:val="00AC78FA"/>
    <w:rsid w:val="00AD081A"/>
    <w:rsid w:val="00AD352E"/>
    <w:rsid w:val="00AD4BD7"/>
    <w:rsid w:val="00AD5D86"/>
    <w:rsid w:val="00AD75E3"/>
    <w:rsid w:val="00AD79FA"/>
    <w:rsid w:val="00AE32B8"/>
    <w:rsid w:val="00AE3546"/>
    <w:rsid w:val="00AE40CC"/>
    <w:rsid w:val="00AE55AB"/>
    <w:rsid w:val="00AE5AED"/>
    <w:rsid w:val="00AE73E1"/>
    <w:rsid w:val="00AF1D74"/>
    <w:rsid w:val="00AF2684"/>
    <w:rsid w:val="00AF2A8A"/>
    <w:rsid w:val="00AF4412"/>
    <w:rsid w:val="00AF50D6"/>
    <w:rsid w:val="00AF5681"/>
    <w:rsid w:val="00AF7940"/>
    <w:rsid w:val="00AF7F20"/>
    <w:rsid w:val="00B01BB8"/>
    <w:rsid w:val="00B0320A"/>
    <w:rsid w:val="00B0333D"/>
    <w:rsid w:val="00B04792"/>
    <w:rsid w:val="00B0494A"/>
    <w:rsid w:val="00B04971"/>
    <w:rsid w:val="00B065C0"/>
    <w:rsid w:val="00B072E5"/>
    <w:rsid w:val="00B11549"/>
    <w:rsid w:val="00B126CF"/>
    <w:rsid w:val="00B14F7B"/>
    <w:rsid w:val="00B16BAF"/>
    <w:rsid w:val="00B22257"/>
    <w:rsid w:val="00B2397B"/>
    <w:rsid w:val="00B255F2"/>
    <w:rsid w:val="00B25BF8"/>
    <w:rsid w:val="00B272B6"/>
    <w:rsid w:val="00B30CA4"/>
    <w:rsid w:val="00B31EAA"/>
    <w:rsid w:val="00B325A4"/>
    <w:rsid w:val="00B32683"/>
    <w:rsid w:val="00B32CE6"/>
    <w:rsid w:val="00B33A0A"/>
    <w:rsid w:val="00B33BAA"/>
    <w:rsid w:val="00B33DDA"/>
    <w:rsid w:val="00B34EA7"/>
    <w:rsid w:val="00B35D23"/>
    <w:rsid w:val="00B3754C"/>
    <w:rsid w:val="00B41475"/>
    <w:rsid w:val="00B43321"/>
    <w:rsid w:val="00B4474B"/>
    <w:rsid w:val="00B4482C"/>
    <w:rsid w:val="00B506B4"/>
    <w:rsid w:val="00B52601"/>
    <w:rsid w:val="00B53225"/>
    <w:rsid w:val="00B5368B"/>
    <w:rsid w:val="00B53E4A"/>
    <w:rsid w:val="00B54B93"/>
    <w:rsid w:val="00B56056"/>
    <w:rsid w:val="00B56702"/>
    <w:rsid w:val="00B568C4"/>
    <w:rsid w:val="00B572D6"/>
    <w:rsid w:val="00B6271F"/>
    <w:rsid w:val="00B63543"/>
    <w:rsid w:val="00B636FA"/>
    <w:rsid w:val="00B64732"/>
    <w:rsid w:val="00B67B1B"/>
    <w:rsid w:val="00B72501"/>
    <w:rsid w:val="00B72E30"/>
    <w:rsid w:val="00B7442F"/>
    <w:rsid w:val="00B75314"/>
    <w:rsid w:val="00B77A36"/>
    <w:rsid w:val="00B77DED"/>
    <w:rsid w:val="00B80DDC"/>
    <w:rsid w:val="00B83766"/>
    <w:rsid w:val="00B84576"/>
    <w:rsid w:val="00B84960"/>
    <w:rsid w:val="00B8557A"/>
    <w:rsid w:val="00B9039C"/>
    <w:rsid w:val="00B908E5"/>
    <w:rsid w:val="00B926E7"/>
    <w:rsid w:val="00B94FBC"/>
    <w:rsid w:val="00B972F7"/>
    <w:rsid w:val="00B97599"/>
    <w:rsid w:val="00BA021E"/>
    <w:rsid w:val="00BA249E"/>
    <w:rsid w:val="00BA2BB6"/>
    <w:rsid w:val="00BA4C3E"/>
    <w:rsid w:val="00BA7B58"/>
    <w:rsid w:val="00BB0385"/>
    <w:rsid w:val="00BB28CB"/>
    <w:rsid w:val="00BB2B65"/>
    <w:rsid w:val="00BB4FEE"/>
    <w:rsid w:val="00BB52BD"/>
    <w:rsid w:val="00BB5366"/>
    <w:rsid w:val="00BB5D2F"/>
    <w:rsid w:val="00BB798F"/>
    <w:rsid w:val="00BC1787"/>
    <w:rsid w:val="00BC53D4"/>
    <w:rsid w:val="00BC6BF6"/>
    <w:rsid w:val="00BC6E5F"/>
    <w:rsid w:val="00BC78A9"/>
    <w:rsid w:val="00BD0A5C"/>
    <w:rsid w:val="00BD0EDD"/>
    <w:rsid w:val="00BD3688"/>
    <w:rsid w:val="00BD4D18"/>
    <w:rsid w:val="00BD7737"/>
    <w:rsid w:val="00BE02BB"/>
    <w:rsid w:val="00BE069B"/>
    <w:rsid w:val="00BE53AD"/>
    <w:rsid w:val="00BE7949"/>
    <w:rsid w:val="00BF0B5C"/>
    <w:rsid w:val="00BF0BBE"/>
    <w:rsid w:val="00BF7B82"/>
    <w:rsid w:val="00C0255C"/>
    <w:rsid w:val="00C03871"/>
    <w:rsid w:val="00C03C2B"/>
    <w:rsid w:val="00C04C79"/>
    <w:rsid w:val="00C07D14"/>
    <w:rsid w:val="00C10E9F"/>
    <w:rsid w:val="00C12FFD"/>
    <w:rsid w:val="00C13A99"/>
    <w:rsid w:val="00C1725E"/>
    <w:rsid w:val="00C20A07"/>
    <w:rsid w:val="00C260E5"/>
    <w:rsid w:val="00C263EB"/>
    <w:rsid w:val="00C31433"/>
    <w:rsid w:val="00C31DBC"/>
    <w:rsid w:val="00C32EAA"/>
    <w:rsid w:val="00C33EB9"/>
    <w:rsid w:val="00C35640"/>
    <w:rsid w:val="00C40086"/>
    <w:rsid w:val="00C40D3B"/>
    <w:rsid w:val="00C40FD4"/>
    <w:rsid w:val="00C42430"/>
    <w:rsid w:val="00C44226"/>
    <w:rsid w:val="00C50853"/>
    <w:rsid w:val="00C50FF7"/>
    <w:rsid w:val="00C51001"/>
    <w:rsid w:val="00C51180"/>
    <w:rsid w:val="00C511BA"/>
    <w:rsid w:val="00C51FA9"/>
    <w:rsid w:val="00C52108"/>
    <w:rsid w:val="00C53665"/>
    <w:rsid w:val="00C544E1"/>
    <w:rsid w:val="00C55748"/>
    <w:rsid w:val="00C57637"/>
    <w:rsid w:val="00C605EB"/>
    <w:rsid w:val="00C622CC"/>
    <w:rsid w:val="00C62660"/>
    <w:rsid w:val="00C644A5"/>
    <w:rsid w:val="00C64AEB"/>
    <w:rsid w:val="00C64CD8"/>
    <w:rsid w:val="00C65C7B"/>
    <w:rsid w:val="00C66487"/>
    <w:rsid w:val="00C7120E"/>
    <w:rsid w:val="00C7187A"/>
    <w:rsid w:val="00C72BD9"/>
    <w:rsid w:val="00C74433"/>
    <w:rsid w:val="00C749B0"/>
    <w:rsid w:val="00C80BC9"/>
    <w:rsid w:val="00C8473A"/>
    <w:rsid w:val="00C84CED"/>
    <w:rsid w:val="00C850BA"/>
    <w:rsid w:val="00C86BCA"/>
    <w:rsid w:val="00C9173B"/>
    <w:rsid w:val="00C91AAB"/>
    <w:rsid w:val="00C93093"/>
    <w:rsid w:val="00C935F9"/>
    <w:rsid w:val="00C93B3C"/>
    <w:rsid w:val="00C9422D"/>
    <w:rsid w:val="00C9555E"/>
    <w:rsid w:val="00C95EBA"/>
    <w:rsid w:val="00C96429"/>
    <w:rsid w:val="00C96A26"/>
    <w:rsid w:val="00CA1BF8"/>
    <w:rsid w:val="00CA1D76"/>
    <w:rsid w:val="00CA1E41"/>
    <w:rsid w:val="00CA308A"/>
    <w:rsid w:val="00CA6F29"/>
    <w:rsid w:val="00CA6FC4"/>
    <w:rsid w:val="00CA74AE"/>
    <w:rsid w:val="00CA7A46"/>
    <w:rsid w:val="00CA7E49"/>
    <w:rsid w:val="00CB4EBD"/>
    <w:rsid w:val="00CB4EF0"/>
    <w:rsid w:val="00CB54C9"/>
    <w:rsid w:val="00CC1C97"/>
    <w:rsid w:val="00CC3281"/>
    <w:rsid w:val="00CC7A96"/>
    <w:rsid w:val="00CD2525"/>
    <w:rsid w:val="00CD5C07"/>
    <w:rsid w:val="00CD6A0E"/>
    <w:rsid w:val="00CD7A86"/>
    <w:rsid w:val="00CE28CE"/>
    <w:rsid w:val="00CE3903"/>
    <w:rsid w:val="00CE514B"/>
    <w:rsid w:val="00CF05E2"/>
    <w:rsid w:val="00CF300B"/>
    <w:rsid w:val="00CF6C7B"/>
    <w:rsid w:val="00CF735F"/>
    <w:rsid w:val="00CF76A0"/>
    <w:rsid w:val="00CF7F2E"/>
    <w:rsid w:val="00D001F6"/>
    <w:rsid w:val="00D025B6"/>
    <w:rsid w:val="00D05D2B"/>
    <w:rsid w:val="00D13D46"/>
    <w:rsid w:val="00D14FEF"/>
    <w:rsid w:val="00D20143"/>
    <w:rsid w:val="00D21619"/>
    <w:rsid w:val="00D21784"/>
    <w:rsid w:val="00D21FA2"/>
    <w:rsid w:val="00D22247"/>
    <w:rsid w:val="00D2271D"/>
    <w:rsid w:val="00D227D2"/>
    <w:rsid w:val="00D22A8C"/>
    <w:rsid w:val="00D22C3D"/>
    <w:rsid w:val="00D22F73"/>
    <w:rsid w:val="00D23365"/>
    <w:rsid w:val="00D23EA1"/>
    <w:rsid w:val="00D32279"/>
    <w:rsid w:val="00D32F5B"/>
    <w:rsid w:val="00D3555F"/>
    <w:rsid w:val="00D35E24"/>
    <w:rsid w:val="00D35F9E"/>
    <w:rsid w:val="00D378F8"/>
    <w:rsid w:val="00D41DB8"/>
    <w:rsid w:val="00D4414F"/>
    <w:rsid w:val="00D45D0C"/>
    <w:rsid w:val="00D54652"/>
    <w:rsid w:val="00D54724"/>
    <w:rsid w:val="00D561D6"/>
    <w:rsid w:val="00D5627B"/>
    <w:rsid w:val="00D56956"/>
    <w:rsid w:val="00D570AF"/>
    <w:rsid w:val="00D61A4A"/>
    <w:rsid w:val="00D62419"/>
    <w:rsid w:val="00D639EB"/>
    <w:rsid w:val="00D6419E"/>
    <w:rsid w:val="00D6487F"/>
    <w:rsid w:val="00D70103"/>
    <w:rsid w:val="00D70A8B"/>
    <w:rsid w:val="00D72A89"/>
    <w:rsid w:val="00D72FB2"/>
    <w:rsid w:val="00D72FC6"/>
    <w:rsid w:val="00D75088"/>
    <w:rsid w:val="00D7566B"/>
    <w:rsid w:val="00D828D9"/>
    <w:rsid w:val="00D82C95"/>
    <w:rsid w:val="00D86B38"/>
    <w:rsid w:val="00D904A7"/>
    <w:rsid w:val="00D9059E"/>
    <w:rsid w:val="00D90625"/>
    <w:rsid w:val="00D90A41"/>
    <w:rsid w:val="00D92146"/>
    <w:rsid w:val="00D92949"/>
    <w:rsid w:val="00D93537"/>
    <w:rsid w:val="00D95EB6"/>
    <w:rsid w:val="00D9742C"/>
    <w:rsid w:val="00DA0206"/>
    <w:rsid w:val="00DA33FD"/>
    <w:rsid w:val="00DA3AAA"/>
    <w:rsid w:val="00DA468F"/>
    <w:rsid w:val="00DA6173"/>
    <w:rsid w:val="00DA6D4E"/>
    <w:rsid w:val="00DA7378"/>
    <w:rsid w:val="00DB1A2A"/>
    <w:rsid w:val="00DB22CC"/>
    <w:rsid w:val="00DB3DC3"/>
    <w:rsid w:val="00DB606A"/>
    <w:rsid w:val="00DB6446"/>
    <w:rsid w:val="00DB6E26"/>
    <w:rsid w:val="00DC0885"/>
    <w:rsid w:val="00DC0A9D"/>
    <w:rsid w:val="00DC0C87"/>
    <w:rsid w:val="00DC37F5"/>
    <w:rsid w:val="00DC3CA4"/>
    <w:rsid w:val="00DC69D4"/>
    <w:rsid w:val="00DC6F98"/>
    <w:rsid w:val="00DD3243"/>
    <w:rsid w:val="00DD3EFA"/>
    <w:rsid w:val="00DD4371"/>
    <w:rsid w:val="00DD4AB4"/>
    <w:rsid w:val="00DD5554"/>
    <w:rsid w:val="00DD5DE3"/>
    <w:rsid w:val="00DE146F"/>
    <w:rsid w:val="00DE1555"/>
    <w:rsid w:val="00DE19CF"/>
    <w:rsid w:val="00DE44CF"/>
    <w:rsid w:val="00DE69B9"/>
    <w:rsid w:val="00DF1056"/>
    <w:rsid w:val="00E02425"/>
    <w:rsid w:val="00E0245E"/>
    <w:rsid w:val="00E036C6"/>
    <w:rsid w:val="00E04B6E"/>
    <w:rsid w:val="00E129F5"/>
    <w:rsid w:val="00E12F72"/>
    <w:rsid w:val="00E139F5"/>
    <w:rsid w:val="00E1426E"/>
    <w:rsid w:val="00E15A49"/>
    <w:rsid w:val="00E16E3C"/>
    <w:rsid w:val="00E212A8"/>
    <w:rsid w:val="00E22099"/>
    <w:rsid w:val="00E268C6"/>
    <w:rsid w:val="00E30504"/>
    <w:rsid w:val="00E314A7"/>
    <w:rsid w:val="00E31B8D"/>
    <w:rsid w:val="00E31E7F"/>
    <w:rsid w:val="00E32449"/>
    <w:rsid w:val="00E324B5"/>
    <w:rsid w:val="00E32973"/>
    <w:rsid w:val="00E32B5A"/>
    <w:rsid w:val="00E34B70"/>
    <w:rsid w:val="00E35AC1"/>
    <w:rsid w:val="00E362EE"/>
    <w:rsid w:val="00E36448"/>
    <w:rsid w:val="00E3677E"/>
    <w:rsid w:val="00E4125B"/>
    <w:rsid w:val="00E413B4"/>
    <w:rsid w:val="00E4200A"/>
    <w:rsid w:val="00E447EB"/>
    <w:rsid w:val="00E45EAF"/>
    <w:rsid w:val="00E45F11"/>
    <w:rsid w:val="00E46892"/>
    <w:rsid w:val="00E51A68"/>
    <w:rsid w:val="00E53B1C"/>
    <w:rsid w:val="00E54113"/>
    <w:rsid w:val="00E55D52"/>
    <w:rsid w:val="00E56F07"/>
    <w:rsid w:val="00E5786B"/>
    <w:rsid w:val="00E61700"/>
    <w:rsid w:val="00E6189A"/>
    <w:rsid w:val="00E625ED"/>
    <w:rsid w:val="00E64121"/>
    <w:rsid w:val="00E6527F"/>
    <w:rsid w:val="00E6546E"/>
    <w:rsid w:val="00E67F6D"/>
    <w:rsid w:val="00E70B54"/>
    <w:rsid w:val="00E72851"/>
    <w:rsid w:val="00E73368"/>
    <w:rsid w:val="00E740E8"/>
    <w:rsid w:val="00E74699"/>
    <w:rsid w:val="00E75545"/>
    <w:rsid w:val="00E76BD3"/>
    <w:rsid w:val="00E76C55"/>
    <w:rsid w:val="00E826D2"/>
    <w:rsid w:val="00E8356E"/>
    <w:rsid w:val="00E837E1"/>
    <w:rsid w:val="00E83DB3"/>
    <w:rsid w:val="00E87F20"/>
    <w:rsid w:val="00E90789"/>
    <w:rsid w:val="00E924DD"/>
    <w:rsid w:val="00E92B30"/>
    <w:rsid w:val="00E92D46"/>
    <w:rsid w:val="00E94AD3"/>
    <w:rsid w:val="00E959EF"/>
    <w:rsid w:val="00E961B1"/>
    <w:rsid w:val="00E97831"/>
    <w:rsid w:val="00EA2B68"/>
    <w:rsid w:val="00EA30CA"/>
    <w:rsid w:val="00EA425E"/>
    <w:rsid w:val="00EA434C"/>
    <w:rsid w:val="00EA4853"/>
    <w:rsid w:val="00EA5362"/>
    <w:rsid w:val="00EA5E4B"/>
    <w:rsid w:val="00EA6C35"/>
    <w:rsid w:val="00EA788C"/>
    <w:rsid w:val="00EA7942"/>
    <w:rsid w:val="00EB1013"/>
    <w:rsid w:val="00EB1CB9"/>
    <w:rsid w:val="00EB6B45"/>
    <w:rsid w:val="00EB7A3D"/>
    <w:rsid w:val="00EC092F"/>
    <w:rsid w:val="00EC1827"/>
    <w:rsid w:val="00EC259D"/>
    <w:rsid w:val="00EC31DF"/>
    <w:rsid w:val="00EC3A09"/>
    <w:rsid w:val="00EC4E8C"/>
    <w:rsid w:val="00ED271A"/>
    <w:rsid w:val="00ED35C4"/>
    <w:rsid w:val="00ED3EED"/>
    <w:rsid w:val="00ED4531"/>
    <w:rsid w:val="00ED5633"/>
    <w:rsid w:val="00ED7510"/>
    <w:rsid w:val="00EE0C9E"/>
    <w:rsid w:val="00EE38DD"/>
    <w:rsid w:val="00EE4B90"/>
    <w:rsid w:val="00EE548D"/>
    <w:rsid w:val="00EE65E5"/>
    <w:rsid w:val="00EE73C1"/>
    <w:rsid w:val="00EF1E6C"/>
    <w:rsid w:val="00EF3697"/>
    <w:rsid w:val="00EF4051"/>
    <w:rsid w:val="00EF5117"/>
    <w:rsid w:val="00EF5AC3"/>
    <w:rsid w:val="00EF6136"/>
    <w:rsid w:val="00EF6906"/>
    <w:rsid w:val="00EF75E1"/>
    <w:rsid w:val="00F018C9"/>
    <w:rsid w:val="00F02F37"/>
    <w:rsid w:val="00F04405"/>
    <w:rsid w:val="00F059E2"/>
    <w:rsid w:val="00F0644D"/>
    <w:rsid w:val="00F0673E"/>
    <w:rsid w:val="00F069B5"/>
    <w:rsid w:val="00F07435"/>
    <w:rsid w:val="00F1287B"/>
    <w:rsid w:val="00F13155"/>
    <w:rsid w:val="00F15A64"/>
    <w:rsid w:val="00F1689D"/>
    <w:rsid w:val="00F16FC5"/>
    <w:rsid w:val="00F254F5"/>
    <w:rsid w:val="00F2703B"/>
    <w:rsid w:val="00F31044"/>
    <w:rsid w:val="00F34125"/>
    <w:rsid w:val="00F342ED"/>
    <w:rsid w:val="00F35061"/>
    <w:rsid w:val="00F35640"/>
    <w:rsid w:val="00F35C63"/>
    <w:rsid w:val="00F36EF0"/>
    <w:rsid w:val="00F40724"/>
    <w:rsid w:val="00F41841"/>
    <w:rsid w:val="00F42D48"/>
    <w:rsid w:val="00F43651"/>
    <w:rsid w:val="00F44A22"/>
    <w:rsid w:val="00F4565D"/>
    <w:rsid w:val="00F46062"/>
    <w:rsid w:val="00F46410"/>
    <w:rsid w:val="00F47ACB"/>
    <w:rsid w:val="00F50E63"/>
    <w:rsid w:val="00F51FD6"/>
    <w:rsid w:val="00F55504"/>
    <w:rsid w:val="00F5733D"/>
    <w:rsid w:val="00F60BD8"/>
    <w:rsid w:val="00F6417E"/>
    <w:rsid w:val="00F6473E"/>
    <w:rsid w:val="00F6608A"/>
    <w:rsid w:val="00F66D83"/>
    <w:rsid w:val="00F700D1"/>
    <w:rsid w:val="00F74CFE"/>
    <w:rsid w:val="00F75F6C"/>
    <w:rsid w:val="00F80DBF"/>
    <w:rsid w:val="00F818D6"/>
    <w:rsid w:val="00F81C4E"/>
    <w:rsid w:val="00F83D00"/>
    <w:rsid w:val="00F85E64"/>
    <w:rsid w:val="00F90618"/>
    <w:rsid w:val="00F91418"/>
    <w:rsid w:val="00F92373"/>
    <w:rsid w:val="00F92E93"/>
    <w:rsid w:val="00FA2084"/>
    <w:rsid w:val="00FA4E28"/>
    <w:rsid w:val="00FA5685"/>
    <w:rsid w:val="00FA5E57"/>
    <w:rsid w:val="00FB01A6"/>
    <w:rsid w:val="00FB4F0E"/>
    <w:rsid w:val="00FB5B36"/>
    <w:rsid w:val="00FC0D81"/>
    <w:rsid w:val="00FC1A2C"/>
    <w:rsid w:val="00FC4213"/>
    <w:rsid w:val="00FC4C5A"/>
    <w:rsid w:val="00FC5E68"/>
    <w:rsid w:val="00FC651D"/>
    <w:rsid w:val="00FC700F"/>
    <w:rsid w:val="00FC7D2E"/>
    <w:rsid w:val="00FC7E16"/>
    <w:rsid w:val="00FD0B96"/>
    <w:rsid w:val="00FD2F31"/>
    <w:rsid w:val="00FD54AA"/>
    <w:rsid w:val="00FD5CC5"/>
    <w:rsid w:val="00FD624A"/>
    <w:rsid w:val="00FD6D57"/>
    <w:rsid w:val="00FD6D63"/>
    <w:rsid w:val="00FD7D99"/>
    <w:rsid w:val="00FE0F54"/>
    <w:rsid w:val="00FE186D"/>
    <w:rsid w:val="00FE1E74"/>
    <w:rsid w:val="00FE46CB"/>
    <w:rsid w:val="00FE5CD0"/>
    <w:rsid w:val="00FE7356"/>
    <w:rsid w:val="00FF347C"/>
    <w:rsid w:val="00FF4CAB"/>
    <w:rsid w:val="00FF51E6"/>
    <w:rsid w:val="00FF52E8"/>
    <w:rsid w:val="00FF5617"/>
    <w:rsid w:val="00FF6C20"/>
    <w:rsid w:val="00FF79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88AA02B-2F97-46E3-A18E-16F0E79D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281"/>
    <w:rPr>
      <w:sz w:val="24"/>
      <w:lang w:val="en-AU" w:eastAsia="en-US"/>
    </w:rPr>
  </w:style>
  <w:style w:type="paragraph" w:styleId="1">
    <w:name w:val="heading 1"/>
    <w:basedOn w:val="a"/>
    <w:next w:val="a"/>
    <w:qFormat/>
    <w:pPr>
      <w:keepNext/>
      <w:jc w:val="center"/>
      <w:outlineLvl w:val="0"/>
    </w:pPr>
    <w:rPr>
      <w:b/>
      <w:bCs/>
      <w:sz w:val="28"/>
      <w:lang w:val="el-GR"/>
    </w:rPr>
  </w:style>
  <w:style w:type="paragraph" w:styleId="2">
    <w:name w:val="heading 2"/>
    <w:basedOn w:val="a"/>
    <w:next w:val="a"/>
    <w:qFormat/>
    <w:pPr>
      <w:keepNext/>
      <w:jc w:val="center"/>
      <w:outlineLvl w:val="1"/>
    </w:pPr>
    <w:rPr>
      <w:sz w:val="28"/>
      <w:lang w:val="el-GR"/>
    </w:rPr>
  </w:style>
  <w:style w:type="paragraph" w:styleId="9">
    <w:name w:val="heading 9"/>
    <w:basedOn w:val="a"/>
    <w:next w:val="a"/>
    <w:qFormat/>
    <w:pPr>
      <w:keepNext/>
      <w:spacing w:line="288" w:lineRule="auto"/>
      <w:ind w:left="5040" w:right="91" w:firstLine="720"/>
      <w:jc w:val="both"/>
      <w:outlineLvl w:val="8"/>
    </w:pPr>
    <w:rPr>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2"/>
      <w:lang w:val="en-US"/>
    </w:rPr>
  </w:style>
  <w:style w:type="paragraph" w:styleId="a4">
    <w:name w:val="footer"/>
    <w:basedOn w:val="a"/>
    <w:pPr>
      <w:tabs>
        <w:tab w:val="center" w:pos="4320"/>
        <w:tab w:val="right" w:pos="8640"/>
      </w:tabs>
    </w:pPr>
    <w:rPr>
      <w:sz w:val="20"/>
      <w:lang w:val="en-US"/>
    </w:rPr>
  </w:style>
  <w:style w:type="character" w:styleId="-">
    <w:name w:val="Hyperlink"/>
    <w:rPr>
      <w:color w:val="0000FF"/>
      <w:u w:val="single"/>
    </w:rPr>
  </w:style>
  <w:style w:type="paragraph" w:styleId="a5">
    <w:name w:val="Subtitle"/>
    <w:basedOn w:val="a"/>
    <w:qFormat/>
    <w:pPr>
      <w:jc w:val="center"/>
      <w:outlineLvl w:val="0"/>
    </w:pPr>
    <w:rPr>
      <w:b/>
      <w:lang w:val="el-GR"/>
    </w:rPr>
  </w:style>
  <w:style w:type="character" w:styleId="-0">
    <w:name w:val="FollowedHyperlink"/>
    <w:rPr>
      <w:color w:val="800080"/>
      <w:u w:val="single"/>
    </w:rPr>
  </w:style>
  <w:style w:type="paragraph" w:styleId="a6">
    <w:name w:val="header"/>
    <w:basedOn w:val="a"/>
    <w:pPr>
      <w:tabs>
        <w:tab w:val="center" w:pos="4153"/>
        <w:tab w:val="right" w:pos="8306"/>
      </w:tabs>
    </w:pPr>
  </w:style>
  <w:style w:type="paragraph" w:styleId="a7">
    <w:name w:val="Body Text"/>
    <w:basedOn w:val="a"/>
    <w:pPr>
      <w:jc w:val="both"/>
    </w:pPr>
    <w:rPr>
      <w:lang w:val="el-GR"/>
    </w:rPr>
  </w:style>
  <w:style w:type="paragraph" w:styleId="20">
    <w:name w:val="Body Text 2"/>
    <w:basedOn w:val="a"/>
    <w:pPr>
      <w:jc w:val="center"/>
    </w:pPr>
    <w:rPr>
      <w:b/>
      <w:bCs/>
      <w:lang w:val="el-GR"/>
    </w:rPr>
  </w:style>
  <w:style w:type="paragraph" w:styleId="3">
    <w:name w:val="Body Text 3"/>
    <w:basedOn w:val="a"/>
    <w:pPr>
      <w:jc w:val="both"/>
    </w:pPr>
    <w:rPr>
      <w:sz w:val="26"/>
      <w:lang w:val="el-GR"/>
    </w:rPr>
  </w:style>
  <w:style w:type="paragraph" w:styleId="a8">
    <w:name w:val="Balloon Text"/>
    <w:basedOn w:val="a"/>
    <w:semiHidden/>
    <w:rPr>
      <w:rFonts w:ascii="Tahoma" w:hAnsi="Tahoma" w:cs="Tahoma"/>
      <w:sz w:val="16"/>
      <w:szCs w:val="16"/>
    </w:rPr>
  </w:style>
  <w:style w:type="paragraph" w:styleId="Web">
    <w:name w:val="Normal (Web)"/>
    <w:basedOn w:val="a"/>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Char Char Char Char Char Char Char"/>
    <w:basedOn w:val="a"/>
    <w:rsid w:val="008506AD"/>
    <w:pPr>
      <w:spacing w:after="160" w:line="240" w:lineRule="exact"/>
    </w:pPr>
    <w:rPr>
      <w:rFonts w:ascii="Verdana" w:hAnsi="Verdana"/>
      <w:sz w:val="20"/>
      <w:lang w:val="en-US"/>
    </w:rPr>
  </w:style>
  <w:style w:type="paragraph" w:customStyle="1" w:styleId="Char">
    <w:name w:val="Char"/>
    <w:basedOn w:val="a"/>
    <w:rsid w:val="0062308D"/>
    <w:pPr>
      <w:spacing w:after="160" w:line="240" w:lineRule="exact"/>
    </w:pPr>
    <w:rPr>
      <w:rFonts w:ascii="Verdana" w:hAnsi="Verdana"/>
      <w:sz w:val="20"/>
      <w:lang w:val="en-US"/>
    </w:rPr>
  </w:style>
  <w:style w:type="character" w:styleId="a9">
    <w:name w:val="annotation reference"/>
    <w:semiHidden/>
    <w:rsid w:val="001A5E12"/>
    <w:rPr>
      <w:sz w:val="16"/>
      <w:szCs w:val="16"/>
    </w:rPr>
  </w:style>
  <w:style w:type="paragraph" w:styleId="aa">
    <w:name w:val="annotation text"/>
    <w:basedOn w:val="a"/>
    <w:semiHidden/>
    <w:rsid w:val="001A5E12"/>
    <w:rPr>
      <w:sz w:val="20"/>
    </w:rPr>
  </w:style>
  <w:style w:type="paragraph" w:styleId="ab">
    <w:name w:val="annotation subject"/>
    <w:basedOn w:val="aa"/>
    <w:next w:val="aa"/>
    <w:semiHidden/>
    <w:rsid w:val="001A5E12"/>
    <w:rPr>
      <w:b/>
      <w:bCs/>
    </w:rPr>
  </w:style>
  <w:style w:type="table" w:styleId="ac">
    <w:name w:val="Table Grid"/>
    <w:basedOn w:val="a1"/>
    <w:uiPriority w:val="59"/>
    <w:rsid w:val="008A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1B3CDB"/>
    <w:pPr>
      <w:spacing w:after="160" w:line="240" w:lineRule="exact"/>
    </w:pPr>
    <w:rPr>
      <w:rFonts w:ascii="Verdana" w:hAnsi="Verdana"/>
      <w:sz w:val="20"/>
      <w:lang w:val="en-US"/>
    </w:rPr>
  </w:style>
  <w:style w:type="character" w:customStyle="1" w:styleId="watch-title">
    <w:name w:val="watch-title"/>
    <w:rsid w:val="00C7120E"/>
  </w:style>
  <w:style w:type="paragraph" w:styleId="ad">
    <w:name w:val="footnote text"/>
    <w:basedOn w:val="a"/>
    <w:link w:val="Char0"/>
    <w:uiPriority w:val="99"/>
    <w:unhideWhenUsed/>
    <w:rsid w:val="00DA0206"/>
    <w:rPr>
      <w:rFonts w:ascii="Calibri" w:eastAsia="Calibri" w:hAnsi="Calibri"/>
      <w:sz w:val="20"/>
      <w:lang w:val="x-none"/>
    </w:rPr>
  </w:style>
  <w:style w:type="character" w:customStyle="1" w:styleId="Char0">
    <w:name w:val="Κείμενο υποσημείωσης Char"/>
    <w:link w:val="ad"/>
    <w:uiPriority w:val="99"/>
    <w:rsid w:val="00DA0206"/>
    <w:rPr>
      <w:rFonts w:ascii="Calibri" w:eastAsia="Calibri" w:hAnsi="Calibri"/>
      <w:lang w:eastAsia="en-US"/>
    </w:rPr>
  </w:style>
  <w:style w:type="character" w:styleId="ae">
    <w:name w:val="footnote reference"/>
    <w:uiPriority w:val="99"/>
    <w:semiHidden/>
    <w:unhideWhenUsed/>
    <w:rsid w:val="00DA0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3371">
      <w:bodyDiv w:val="1"/>
      <w:marLeft w:val="0"/>
      <w:marRight w:val="0"/>
      <w:marTop w:val="0"/>
      <w:marBottom w:val="0"/>
      <w:divBdr>
        <w:top w:val="none" w:sz="0" w:space="0" w:color="auto"/>
        <w:left w:val="none" w:sz="0" w:space="0" w:color="auto"/>
        <w:bottom w:val="none" w:sz="0" w:space="0" w:color="auto"/>
        <w:right w:val="none" w:sz="0" w:space="0" w:color="auto"/>
      </w:divBdr>
    </w:div>
    <w:div w:id="60175897">
      <w:bodyDiv w:val="1"/>
      <w:marLeft w:val="0"/>
      <w:marRight w:val="0"/>
      <w:marTop w:val="0"/>
      <w:marBottom w:val="0"/>
      <w:divBdr>
        <w:top w:val="none" w:sz="0" w:space="0" w:color="auto"/>
        <w:left w:val="none" w:sz="0" w:space="0" w:color="auto"/>
        <w:bottom w:val="none" w:sz="0" w:space="0" w:color="auto"/>
        <w:right w:val="none" w:sz="0" w:space="0" w:color="auto"/>
      </w:divBdr>
    </w:div>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260843927">
      <w:bodyDiv w:val="1"/>
      <w:marLeft w:val="0"/>
      <w:marRight w:val="0"/>
      <w:marTop w:val="0"/>
      <w:marBottom w:val="0"/>
      <w:divBdr>
        <w:top w:val="none" w:sz="0" w:space="0" w:color="auto"/>
        <w:left w:val="none" w:sz="0" w:space="0" w:color="auto"/>
        <w:bottom w:val="none" w:sz="0" w:space="0" w:color="auto"/>
        <w:right w:val="none" w:sz="0" w:space="0" w:color="auto"/>
      </w:divBdr>
      <w:divsChild>
        <w:div w:id="88241324">
          <w:marLeft w:val="0"/>
          <w:marRight w:val="0"/>
          <w:marTop w:val="0"/>
          <w:marBottom w:val="0"/>
          <w:divBdr>
            <w:top w:val="none" w:sz="0" w:space="0" w:color="auto"/>
            <w:left w:val="none" w:sz="0" w:space="0" w:color="auto"/>
            <w:bottom w:val="none" w:sz="0" w:space="0" w:color="auto"/>
            <w:right w:val="none" w:sz="0" w:space="0" w:color="auto"/>
          </w:divBdr>
        </w:div>
        <w:div w:id="153841386">
          <w:marLeft w:val="0"/>
          <w:marRight w:val="0"/>
          <w:marTop w:val="0"/>
          <w:marBottom w:val="0"/>
          <w:divBdr>
            <w:top w:val="none" w:sz="0" w:space="0" w:color="auto"/>
            <w:left w:val="none" w:sz="0" w:space="0" w:color="auto"/>
            <w:bottom w:val="none" w:sz="0" w:space="0" w:color="auto"/>
            <w:right w:val="none" w:sz="0" w:space="0" w:color="auto"/>
          </w:divBdr>
        </w:div>
        <w:div w:id="172847214">
          <w:marLeft w:val="0"/>
          <w:marRight w:val="0"/>
          <w:marTop w:val="0"/>
          <w:marBottom w:val="0"/>
          <w:divBdr>
            <w:top w:val="none" w:sz="0" w:space="0" w:color="auto"/>
            <w:left w:val="none" w:sz="0" w:space="0" w:color="auto"/>
            <w:bottom w:val="none" w:sz="0" w:space="0" w:color="auto"/>
            <w:right w:val="none" w:sz="0" w:space="0" w:color="auto"/>
          </w:divBdr>
        </w:div>
        <w:div w:id="261492166">
          <w:marLeft w:val="0"/>
          <w:marRight w:val="0"/>
          <w:marTop w:val="0"/>
          <w:marBottom w:val="0"/>
          <w:divBdr>
            <w:top w:val="none" w:sz="0" w:space="0" w:color="auto"/>
            <w:left w:val="none" w:sz="0" w:space="0" w:color="auto"/>
            <w:bottom w:val="none" w:sz="0" w:space="0" w:color="auto"/>
            <w:right w:val="none" w:sz="0" w:space="0" w:color="auto"/>
          </w:divBdr>
        </w:div>
        <w:div w:id="298993744">
          <w:marLeft w:val="0"/>
          <w:marRight w:val="0"/>
          <w:marTop w:val="0"/>
          <w:marBottom w:val="0"/>
          <w:divBdr>
            <w:top w:val="none" w:sz="0" w:space="0" w:color="auto"/>
            <w:left w:val="none" w:sz="0" w:space="0" w:color="auto"/>
            <w:bottom w:val="none" w:sz="0" w:space="0" w:color="auto"/>
            <w:right w:val="none" w:sz="0" w:space="0" w:color="auto"/>
          </w:divBdr>
        </w:div>
        <w:div w:id="299921483">
          <w:marLeft w:val="0"/>
          <w:marRight w:val="0"/>
          <w:marTop w:val="0"/>
          <w:marBottom w:val="0"/>
          <w:divBdr>
            <w:top w:val="none" w:sz="0" w:space="0" w:color="auto"/>
            <w:left w:val="none" w:sz="0" w:space="0" w:color="auto"/>
            <w:bottom w:val="none" w:sz="0" w:space="0" w:color="auto"/>
            <w:right w:val="none" w:sz="0" w:space="0" w:color="auto"/>
          </w:divBdr>
        </w:div>
        <w:div w:id="505485554">
          <w:marLeft w:val="0"/>
          <w:marRight w:val="0"/>
          <w:marTop w:val="0"/>
          <w:marBottom w:val="0"/>
          <w:divBdr>
            <w:top w:val="none" w:sz="0" w:space="0" w:color="auto"/>
            <w:left w:val="none" w:sz="0" w:space="0" w:color="auto"/>
            <w:bottom w:val="none" w:sz="0" w:space="0" w:color="auto"/>
            <w:right w:val="none" w:sz="0" w:space="0" w:color="auto"/>
          </w:divBdr>
        </w:div>
        <w:div w:id="649795903">
          <w:marLeft w:val="0"/>
          <w:marRight w:val="0"/>
          <w:marTop w:val="0"/>
          <w:marBottom w:val="0"/>
          <w:divBdr>
            <w:top w:val="none" w:sz="0" w:space="0" w:color="auto"/>
            <w:left w:val="none" w:sz="0" w:space="0" w:color="auto"/>
            <w:bottom w:val="none" w:sz="0" w:space="0" w:color="auto"/>
            <w:right w:val="none" w:sz="0" w:space="0" w:color="auto"/>
          </w:divBdr>
        </w:div>
        <w:div w:id="824197885">
          <w:marLeft w:val="0"/>
          <w:marRight w:val="0"/>
          <w:marTop w:val="0"/>
          <w:marBottom w:val="0"/>
          <w:divBdr>
            <w:top w:val="none" w:sz="0" w:space="0" w:color="auto"/>
            <w:left w:val="none" w:sz="0" w:space="0" w:color="auto"/>
            <w:bottom w:val="none" w:sz="0" w:space="0" w:color="auto"/>
            <w:right w:val="none" w:sz="0" w:space="0" w:color="auto"/>
          </w:divBdr>
        </w:div>
        <w:div w:id="1013335088">
          <w:marLeft w:val="0"/>
          <w:marRight w:val="0"/>
          <w:marTop w:val="0"/>
          <w:marBottom w:val="0"/>
          <w:divBdr>
            <w:top w:val="none" w:sz="0" w:space="0" w:color="auto"/>
            <w:left w:val="none" w:sz="0" w:space="0" w:color="auto"/>
            <w:bottom w:val="none" w:sz="0" w:space="0" w:color="auto"/>
            <w:right w:val="none" w:sz="0" w:space="0" w:color="auto"/>
          </w:divBdr>
        </w:div>
        <w:div w:id="1142891023">
          <w:marLeft w:val="0"/>
          <w:marRight w:val="0"/>
          <w:marTop w:val="0"/>
          <w:marBottom w:val="0"/>
          <w:divBdr>
            <w:top w:val="none" w:sz="0" w:space="0" w:color="auto"/>
            <w:left w:val="none" w:sz="0" w:space="0" w:color="auto"/>
            <w:bottom w:val="none" w:sz="0" w:space="0" w:color="auto"/>
            <w:right w:val="none" w:sz="0" w:space="0" w:color="auto"/>
          </w:divBdr>
        </w:div>
        <w:div w:id="1857649860">
          <w:marLeft w:val="0"/>
          <w:marRight w:val="0"/>
          <w:marTop w:val="0"/>
          <w:marBottom w:val="0"/>
          <w:divBdr>
            <w:top w:val="none" w:sz="0" w:space="0" w:color="auto"/>
            <w:left w:val="none" w:sz="0" w:space="0" w:color="auto"/>
            <w:bottom w:val="none" w:sz="0" w:space="0" w:color="auto"/>
            <w:right w:val="none" w:sz="0" w:space="0" w:color="auto"/>
          </w:divBdr>
        </w:div>
        <w:div w:id="1926837228">
          <w:marLeft w:val="0"/>
          <w:marRight w:val="0"/>
          <w:marTop w:val="0"/>
          <w:marBottom w:val="0"/>
          <w:divBdr>
            <w:top w:val="none" w:sz="0" w:space="0" w:color="auto"/>
            <w:left w:val="none" w:sz="0" w:space="0" w:color="auto"/>
            <w:bottom w:val="none" w:sz="0" w:space="0" w:color="auto"/>
            <w:right w:val="none" w:sz="0" w:space="0" w:color="auto"/>
          </w:divBdr>
        </w:div>
      </w:divsChild>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842207214">
      <w:bodyDiv w:val="1"/>
      <w:marLeft w:val="0"/>
      <w:marRight w:val="0"/>
      <w:marTop w:val="0"/>
      <w:marBottom w:val="0"/>
      <w:divBdr>
        <w:top w:val="none" w:sz="0" w:space="0" w:color="auto"/>
        <w:left w:val="none" w:sz="0" w:space="0" w:color="auto"/>
        <w:bottom w:val="none" w:sz="0" w:space="0" w:color="auto"/>
        <w:right w:val="none" w:sz="0" w:space="0" w:color="auto"/>
      </w:divBdr>
      <w:divsChild>
        <w:div w:id="1046680999">
          <w:marLeft w:val="0"/>
          <w:marRight w:val="0"/>
          <w:marTop w:val="0"/>
          <w:marBottom w:val="0"/>
          <w:divBdr>
            <w:top w:val="none" w:sz="0" w:space="0" w:color="auto"/>
            <w:left w:val="none" w:sz="0" w:space="0" w:color="auto"/>
            <w:bottom w:val="none" w:sz="0" w:space="0" w:color="auto"/>
            <w:right w:val="none" w:sz="0" w:space="0" w:color="auto"/>
          </w:divBdr>
        </w:div>
        <w:div w:id="1124805930">
          <w:marLeft w:val="0"/>
          <w:marRight w:val="0"/>
          <w:marTop w:val="0"/>
          <w:marBottom w:val="0"/>
          <w:divBdr>
            <w:top w:val="none" w:sz="0" w:space="0" w:color="auto"/>
            <w:left w:val="none" w:sz="0" w:space="0" w:color="auto"/>
            <w:bottom w:val="none" w:sz="0" w:space="0" w:color="auto"/>
            <w:right w:val="none" w:sz="0" w:space="0" w:color="auto"/>
          </w:divBdr>
        </w:div>
      </w:divsChild>
    </w:div>
    <w:div w:id="1520392352">
      <w:bodyDiv w:val="1"/>
      <w:marLeft w:val="0"/>
      <w:marRight w:val="0"/>
      <w:marTop w:val="0"/>
      <w:marBottom w:val="0"/>
      <w:divBdr>
        <w:top w:val="none" w:sz="0" w:space="0" w:color="auto"/>
        <w:left w:val="none" w:sz="0" w:space="0" w:color="auto"/>
        <w:bottom w:val="none" w:sz="0" w:space="0" w:color="auto"/>
        <w:right w:val="none" w:sz="0" w:space="0" w:color="auto"/>
      </w:divBdr>
    </w:div>
    <w:div w:id="1600062004">
      <w:bodyDiv w:val="1"/>
      <w:marLeft w:val="0"/>
      <w:marRight w:val="0"/>
      <w:marTop w:val="0"/>
      <w:marBottom w:val="0"/>
      <w:divBdr>
        <w:top w:val="none" w:sz="0" w:space="0" w:color="auto"/>
        <w:left w:val="none" w:sz="0" w:space="0" w:color="auto"/>
        <w:bottom w:val="none" w:sz="0" w:space="0" w:color="auto"/>
        <w:right w:val="none" w:sz="0" w:space="0" w:color="auto"/>
      </w:divBdr>
    </w:div>
    <w:div w:id="1803384317">
      <w:bodyDiv w:val="1"/>
      <w:marLeft w:val="0"/>
      <w:marRight w:val="0"/>
      <w:marTop w:val="0"/>
      <w:marBottom w:val="0"/>
      <w:divBdr>
        <w:top w:val="none" w:sz="0" w:space="0" w:color="auto"/>
        <w:left w:val="none" w:sz="0" w:space="0" w:color="auto"/>
        <w:bottom w:val="none" w:sz="0" w:space="0" w:color="auto"/>
        <w:right w:val="none" w:sz="0" w:space="0" w:color="auto"/>
      </w:divBdr>
    </w:div>
    <w:div w:id="1831409382">
      <w:bodyDiv w:val="1"/>
      <w:marLeft w:val="0"/>
      <w:marRight w:val="0"/>
      <w:marTop w:val="0"/>
      <w:marBottom w:val="0"/>
      <w:divBdr>
        <w:top w:val="none" w:sz="0" w:space="0" w:color="auto"/>
        <w:left w:val="none" w:sz="0" w:space="0" w:color="auto"/>
        <w:bottom w:val="none" w:sz="0" w:space="0" w:color="auto"/>
        <w:right w:val="none" w:sz="0" w:space="0" w:color="auto"/>
      </w:divBdr>
    </w:div>
    <w:div w:id="2091853991">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trics.ekt.gr" TargetMode="External"/><Relationship Id="rId18" Type="http://schemas.openxmlformats.org/officeDocument/2006/relationships/hyperlink" Target="http://metrics.ekt.gr/statistika-etak/datatable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metrics.ekt.gr/el/node/378"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metrics.ekt.gr/statistika-etak/datatabl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rics.ekt.g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kt.g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metrics.ekt.gr/el/node/378" TargetMode="External"/><Relationship Id="rId19" Type="http://schemas.openxmlformats.org/officeDocument/2006/relationships/hyperlink" Target="http://metrics.ekt.gr/statistika-etak/datatable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kt.gr"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58965-6398-4694-9CD3-005B5D0F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1212</Words>
  <Characters>7863</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EKT</Company>
  <LinksUpToDate>false</LinksUpToDate>
  <CharactersWithSpaces>9057</CharactersWithSpaces>
  <SharedDoc>false</SharedDoc>
  <HLinks>
    <vt:vector size="90" baseType="variant">
      <vt:variant>
        <vt:i4>6226001</vt:i4>
      </vt:variant>
      <vt:variant>
        <vt:i4>42</vt:i4>
      </vt:variant>
      <vt:variant>
        <vt:i4>0</vt:i4>
      </vt:variant>
      <vt:variant>
        <vt:i4>5</vt:i4>
      </vt:variant>
      <vt:variant>
        <vt:lpwstr>http://metrics.ekt.gr/statistika-etak/datatables</vt:lpwstr>
      </vt:variant>
      <vt:variant>
        <vt:lpwstr/>
      </vt:variant>
      <vt:variant>
        <vt:i4>6226001</vt:i4>
      </vt:variant>
      <vt:variant>
        <vt:i4>39</vt:i4>
      </vt:variant>
      <vt:variant>
        <vt:i4>0</vt:i4>
      </vt:variant>
      <vt:variant>
        <vt:i4>5</vt:i4>
      </vt:variant>
      <vt:variant>
        <vt:lpwstr>http://metrics.ekt.gr/statistika-etak/datatables</vt:lpwstr>
      </vt:variant>
      <vt:variant>
        <vt:lpwstr/>
      </vt:variant>
      <vt:variant>
        <vt:i4>6226001</vt:i4>
      </vt:variant>
      <vt:variant>
        <vt:i4>36</vt:i4>
      </vt:variant>
      <vt:variant>
        <vt:i4>0</vt:i4>
      </vt:variant>
      <vt:variant>
        <vt:i4>5</vt:i4>
      </vt:variant>
      <vt:variant>
        <vt:lpwstr>http://metrics.ekt.gr/statistika-etak/datatables</vt:lpwstr>
      </vt:variant>
      <vt:variant>
        <vt:lpwstr/>
      </vt:variant>
      <vt:variant>
        <vt:i4>6226001</vt:i4>
      </vt:variant>
      <vt:variant>
        <vt:i4>33</vt:i4>
      </vt:variant>
      <vt:variant>
        <vt:i4>0</vt:i4>
      </vt:variant>
      <vt:variant>
        <vt:i4>5</vt:i4>
      </vt:variant>
      <vt:variant>
        <vt:lpwstr>http://metrics.ekt.gr/statistika-etak/datatables</vt:lpwstr>
      </vt:variant>
      <vt:variant>
        <vt:lpwstr/>
      </vt:variant>
      <vt:variant>
        <vt:i4>6226001</vt:i4>
      </vt:variant>
      <vt:variant>
        <vt:i4>30</vt:i4>
      </vt:variant>
      <vt:variant>
        <vt:i4>0</vt:i4>
      </vt:variant>
      <vt:variant>
        <vt:i4>5</vt:i4>
      </vt:variant>
      <vt:variant>
        <vt:lpwstr>http://metrics.ekt.gr/statistika-etak/datatables</vt:lpwstr>
      </vt:variant>
      <vt:variant>
        <vt:lpwstr/>
      </vt:variant>
      <vt:variant>
        <vt:i4>6226001</vt:i4>
      </vt:variant>
      <vt:variant>
        <vt:i4>27</vt:i4>
      </vt:variant>
      <vt:variant>
        <vt:i4>0</vt:i4>
      </vt:variant>
      <vt:variant>
        <vt:i4>5</vt:i4>
      </vt:variant>
      <vt:variant>
        <vt:lpwstr>http://metrics.ekt.gr/statistika-etak/datatables</vt:lpwstr>
      </vt:variant>
      <vt:variant>
        <vt:lpwstr/>
      </vt:variant>
      <vt:variant>
        <vt:i4>6226001</vt:i4>
      </vt:variant>
      <vt:variant>
        <vt:i4>24</vt:i4>
      </vt:variant>
      <vt:variant>
        <vt:i4>0</vt:i4>
      </vt:variant>
      <vt:variant>
        <vt:i4>5</vt:i4>
      </vt:variant>
      <vt:variant>
        <vt:lpwstr>http://metrics.ekt.gr/statistika-etak/datatables</vt:lpwstr>
      </vt:variant>
      <vt:variant>
        <vt:lpwstr/>
      </vt:variant>
      <vt:variant>
        <vt:i4>6226001</vt:i4>
      </vt:variant>
      <vt:variant>
        <vt:i4>21</vt:i4>
      </vt:variant>
      <vt:variant>
        <vt:i4>0</vt:i4>
      </vt:variant>
      <vt:variant>
        <vt:i4>5</vt:i4>
      </vt:variant>
      <vt:variant>
        <vt:lpwstr>http://metrics.ekt.gr/statistika-etak/datatables</vt:lpwstr>
      </vt:variant>
      <vt:variant>
        <vt:lpwstr/>
      </vt:variant>
      <vt:variant>
        <vt:i4>6226001</vt:i4>
      </vt:variant>
      <vt:variant>
        <vt:i4>18</vt:i4>
      </vt:variant>
      <vt:variant>
        <vt:i4>0</vt:i4>
      </vt:variant>
      <vt:variant>
        <vt:i4>5</vt:i4>
      </vt:variant>
      <vt:variant>
        <vt:lpwstr>http://metrics.ekt.gr/statistika-etak/datatables</vt:lpwstr>
      </vt:variant>
      <vt:variant>
        <vt:lpwstr/>
      </vt:variant>
      <vt:variant>
        <vt:i4>7471207</vt:i4>
      </vt:variant>
      <vt:variant>
        <vt:i4>15</vt:i4>
      </vt:variant>
      <vt:variant>
        <vt:i4>0</vt:i4>
      </vt:variant>
      <vt:variant>
        <vt:i4>5</vt:i4>
      </vt:variant>
      <vt:variant>
        <vt:lpwstr>http://www.ekt.gr/</vt:lpwstr>
      </vt:variant>
      <vt:variant>
        <vt:lpwstr/>
      </vt:variant>
      <vt:variant>
        <vt:i4>7471207</vt:i4>
      </vt:variant>
      <vt:variant>
        <vt:i4>12</vt:i4>
      </vt:variant>
      <vt:variant>
        <vt:i4>0</vt:i4>
      </vt:variant>
      <vt:variant>
        <vt:i4>5</vt:i4>
      </vt:variant>
      <vt:variant>
        <vt:lpwstr>http://www.ekt.gr/</vt:lpwstr>
      </vt:variant>
      <vt:variant>
        <vt:lpwstr/>
      </vt:variant>
      <vt:variant>
        <vt:i4>7405668</vt:i4>
      </vt:variant>
      <vt:variant>
        <vt:i4>9</vt:i4>
      </vt:variant>
      <vt:variant>
        <vt:i4>0</vt:i4>
      </vt:variant>
      <vt:variant>
        <vt:i4>5</vt:i4>
      </vt:variant>
      <vt:variant>
        <vt:lpwstr>http://metrics.ekt.gr/</vt:lpwstr>
      </vt:variant>
      <vt:variant>
        <vt:lpwstr/>
      </vt:variant>
      <vt:variant>
        <vt:i4>786455</vt:i4>
      </vt:variant>
      <vt:variant>
        <vt:i4>6</vt:i4>
      </vt:variant>
      <vt:variant>
        <vt:i4>0</vt:i4>
      </vt:variant>
      <vt:variant>
        <vt:i4>5</vt:i4>
      </vt:variant>
      <vt:variant>
        <vt:lpwstr>http://metrics.ekt.gr/el/node/346</vt:lpwstr>
      </vt:variant>
      <vt:variant>
        <vt:lpwstr/>
      </vt:variant>
      <vt:variant>
        <vt:i4>7405668</vt:i4>
      </vt:variant>
      <vt:variant>
        <vt:i4>3</vt:i4>
      </vt:variant>
      <vt:variant>
        <vt:i4>0</vt:i4>
      </vt:variant>
      <vt:variant>
        <vt:i4>5</vt:i4>
      </vt:variant>
      <vt:variant>
        <vt:lpwstr>http://metrics.ekt.gr/</vt:lpwstr>
      </vt:variant>
      <vt:variant>
        <vt:lpwstr/>
      </vt:variant>
      <vt:variant>
        <vt:i4>786455</vt:i4>
      </vt:variant>
      <vt:variant>
        <vt:i4>0</vt:i4>
      </vt:variant>
      <vt:variant>
        <vt:i4>0</vt:i4>
      </vt:variant>
      <vt:variant>
        <vt:i4>5</vt:i4>
      </vt:variant>
      <vt:variant>
        <vt:lpwstr>http://metrics.ekt.gr/el/node/346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Μαργαρίτης Προέδρου</dc:creator>
  <cp:keywords/>
  <cp:lastModifiedBy>Μαργαρίτης Προέδρου</cp:lastModifiedBy>
  <cp:revision>18</cp:revision>
  <cp:lastPrinted>2018-10-17T09:30:00Z</cp:lastPrinted>
  <dcterms:created xsi:type="dcterms:W3CDTF">2018-10-16T16:07:00Z</dcterms:created>
  <dcterms:modified xsi:type="dcterms:W3CDTF">2018-10-17T09:59:00Z</dcterms:modified>
</cp:coreProperties>
</file>