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6C" w:rsidRDefault="0039624E" w:rsidP="007D6B95">
      <w:pPr>
        <w:pStyle w:val="9"/>
        <w:spacing w:line="240" w:lineRule="auto"/>
        <w:ind w:left="0" w:right="0" w:firstLine="0"/>
        <w:rPr>
          <w:rFonts w:ascii="Verdana" w:hAnsi="Verdana"/>
          <w:szCs w:val="22"/>
        </w:rPr>
      </w:pP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216" o:allowincell="f">
            <v:imagedata r:id="rId8" o:title=""/>
            <w10:wrap type="topAndBottom"/>
          </v:shape>
          <o:OLEObject Type="Embed" ProgID="Photoshop.Image.5" ShapeID="_x0000_s1029" DrawAspect="Content" ObjectID="_1581167014" r:id="rId9">
            <o:FieldCodes>\s</o:FieldCodes>
          </o:OLEObject>
        </w:object>
      </w:r>
      <w:r w:rsidR="004671D5">
        <w:rPr>
          <w:rFonts w:ascii="Verdana" w:hAnsi="Verdana"/>
          <w:sz w:val="20"/>
        </w:rPr>
        <w:t xml:space="preserve"> </w: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r w:rsidR="00B56702" w:rsidRPr="00452F44">
        <w:rPr>
          <w:rFonts w:ascii="Verdana" w:hAnsi="Verdana"/>
          <w:szCs w:val="22"/>
        </w:rPr>
        <w:t>Αθήνα</w:t>
      </w:r>
      <w:r w:rsidR="00B56702" w:rsidRPr="007D6B95">
        <w:rPr>
          <w:rFonts w:ascii="Verdana" w:hAnsi="Verdana"/>
          <w:szCs w:val="22"/>
        </w:rPr>
        <w:t xml:space="preserve">, </w:t>
      </w:r>
      <w:r w:rsidR="007D6B95">
        <w:rPr>
          <w:rFonts w:ascii="Verdana" w:hAnsi="Verdana"/>
          <w:szCs w:val="22"/>
        </w:rPr>
        <w:t>26/02/2018</w:t>
      </w:r>
    </w:p>
    <w:p w:rsidR="00B56702" w:rsidRPr="00067BEF" w:rsidRDefault="00B56702" w:rsidP="00FD2F31">
      <w:pPr>
        <w:pStyle w:val="a3"/>
        <w:rPr>
          <w:rFonts w:ascii="Verdana" w:hAnsi="Verdana"/>
          <w:sz w:val="24"/>
          <w:szCs w:val="24"/>
          <w:lang w:val="el-GR"/>
        </w:rPr>
      </w:pPr>
      <w:r w:rsidRPr="007D6B95">
        <w:rPr>
          <w:rFonts w:ascii="Verdana" w:hAnsi="Verdana"/>
          <w:sz w:val="24"/>
          <w:szCs w:val="24"/>
          <w:lang w:val="el-GR"/>
        </w:rPr>
        <w:t>ΔΕΛΤΙΟ ΤΥΠΟΥ</w:t>
      </w:r>
    </w:p>
    <w:p w:rsidR="00AF2A8A" w:rsidRDefault="00377BDC" w:rsidP="0077580B">
      <w:pPr>
        <w:jc w:val="center"/>
        <w:rPr>
          <w:rFonts w:ascii="Verdana" w:hAnsi="Verdana"/>
          <w:b/>
          <w:sz w:val="22"/>
          <w:szCs w:val="22"/>
          <w:lang w:val="el-GR"/>
        </w:rPr>
      </w:pPr>
      <w:r w:rsidRPr="00067BEF">
        <w:rPr>
          <w:rFonts w:ascii="Verdana" w:hAnsi="Verdana"/>
          <w:b/>
          <w:sz w:val="22"/>
          <w:szCs w:val="22"/>
          <w:lang w:val="el-GR"/>
        </w:rPr>
        <w:t xml:space="preserve">Πάνω από το 1% του ΑΕΠ το ποσοστό δαπανών </w:t>
      </w:r>
    </w:p>
    <w:p w:rsidR="006A21EB" w:rsidRDefault="00377BDC" w:rsidP="0077580B">
      <w:pPr>
        <w:jc w:val="center"/>
        <w:rPr>
          <w:rFonts w:ascii="Verdana" w:hAnsi="Verdana"/>
          <w:b/>
          <w:sz w:val="22"/>
          <w:szCs w:val="22"/>
          <w:lang w:val="el-GR"/>
        </w:rPr>
      </w:pPr>
      <w:r w:rsidRPr="00067BEF">
        <w:rPr>
          <w:rFonts w:ascii="Verdana" w:hAnsi="Verdana"/>
          <w:b/>
          <w:sz w:val="22"/>
          <w:szCs w:val="22"/>
          <w:lang w:val="el-GR"/>
        </w:rPr>
        <w:t xml:space="preserve">για Έρευνα &amp; Ανάπτυξη </w:t>
      </w:r>
      <w:r w:rsidR="006A21EB" w:rsidRPr="00067BEF">
        <w:rPr>
          <w:rFonts w:ascii="Verdana" w:hAnsi="Verdana"/>
          <w:b/>
          <w:sz w:val="22"/>
          <w:szCs w:val="22"/>
          <w:lang w:val="el-GR"/>
        </w:rPr>
        <w:t>το 201</w:t>
      </w:r>
      <w:r w:rsidR="00687A3F" w:rsidRPr="00067BEF">
        <w:rPr>
          <w:rFonts w:ascii="Verdana" w:hAnsi="Verdana"/>
          <w:b/>
          <w:sz w:val="22"/>
          <w:szCs w:val="22"/>
          <w:lang w:val="el-GR"/>
        </w:rPr>
        <w:t>6</w:t>
      </w:r>
      <w:r w:rsidR="006A21EB" w:rsidRPr="00067BEF">
        <w:rPr>
          <w:rFonts w:ascii="Verdana" w:hAnsi="Verdana"/>
          <w:b/>
          <w:sz w:val="22"/>
          <w:szCs w:val="22"/>
          <w:lang w:val="el-GR"/>
        </w:rPr>
        <w:t xml:space="preserve"> στην Ελλάδα</w:t>
      </w:r>
    </w:p>
    <w:p w:rsidR="00EF5AC3" w:rsidRDefault="00EF5AC3" w:rsidP="0077580B">
      <w:pPr>
        <w:jc w:val="center"/>
        <w:rPr>
          <w:rFonts w:ascii="Verdana" w:hAnsi="Verdana"/>
          <w:i/>
          <w:sz w:val="22"/>
          <w:szCs w:val="22"/>
          <w:lang w:val="el-GR"/>
        </w:rPr>
      </w:pPr>
      <w:r>
        <w:rPr>
          <w:rFonts w:ascii="Verdana" w:hAnsi="Verdana"/>
          <w:i/>
          <w:sz w:val="22"/>
          <w:szCs w:val="22"/>
          <w:lang w:val="el-GR"/>
        </w:rPr>
        <w:t>Ανακοινώθηκαν τ</w:t>
      </w:r>
      <w:r w:rsidR="00525F63">
        <w:rPr>
          <w:rFonts w:ascii="Verdana" w:hAnsi="Verdana"/>
          <w:i/>
          <w:sz w:val="22"/>
          <w:szCs w:val="22"/>
          <w:lang w:val="el-GR"/>
        </w:rPr>
        <w:t xml:space="preserve">α </w:t>
      </w:r>
      <w:r w:rsidR="0049150D">
        <w:rPr>
          <w:rFonts w:ascii="Verdana" w:hAnsi="Verdana"/>
          <w:i/>
          <w:sz w:val="22"/>
          <w:szCs w:val="22"/>
          <w:lang w:val="el-GR"/>
        </w:rPr>
        <w:t xml:space="preserve">επίσημα </w:t>
      </w:r>
      <w:r w:rsidR="00377BDC">
        <w:rPr>
          <w:rFonts w:ascii="Verdana" w:hAnsi="Verdana"/>
          <w:i/>
          <w:sz w:val="22"/>
          <w:szCs w:val="22"/>
          <w:lang w:val="el-GR"/>
        </w:rPr>
        <w:t xml:space="preserve">τελικά </w:t>
      </w:r>
      <w:r w:rsidR="006A21EB">
        <w:rPr>
          <w:rFonts w:ascii="Verdana" w:hAnsi="Verdana"/>
          <w:i/>
          <w:sz w:val="22"/>
          <w:szCs w:val="22"/>
          <w:lang w:val="el-GR"/>
        </w:rPr>
        <w:t>στοιχεία</w:t>
      </w:r>
      <w:r w:rsidR="00067BEF">
        <w:rPr>
          <w:rFonts w:ascii="Verdana" w:hAnsi="Verdana"/>
          <w:i/>
          <w:sz w:val="22"/>
          <w:szCs w:val="22"/>
          <w:lang w:val="el-GR"/>
        </w:rPr>
        <w:t xml:space="preserve"> </w:t>
      </w:r>
    </w:p>
    <w:p w:rsidR="009A535F" w:rsidRPr="006A21EB" w:rsidRDefault="0049150D" w:rsidP="0077580B">
      <w:pPr>
        <w:jc w:val="center"/>
        <w:rPr>
          <w:rFonts w:ascii="Verdana" w:hAnsi="Verdana"/>
          <w:i/>
          <w:sz w:val="22"/>
          <w:szCs w:val="22"/>
          <w:lang w:val="el-GR"/>
        </w:rPr>
      </w:pPr>
      <w:r>
        <w:rPr>
          <w:rFonts w:ascii="Verdana" w:hAnsi="Verdana"/>
          <w:i/>
          <w:sz w:val="22"/>
          <w:szCs w:val="22"/>
          <w:lang w:val="el-GR"/>
        </w:rPr>
        <w:t xml:space="preserve">του Εθνικού Κέντρου Τεκμηρίωσης </w:t>
      </w:r>
    </w:p>
    <w:p w:rsidR="007A71D0" w:rsidRPr="00E139F5" w:rsidRDefault="00E959EF" w:rsidP="0077580B">
      <w:pPr>
        <w:jc w:val="center"/>
        <w:rPr>
          <w:rFonts w:ascii="Verdana" w:hAnsi="Verdana"/>
          <w:sz w:val="16"/>
          <w:szCs w:val="16"/>
          <w:lang w:val="el-GR" w:eastAsia="el-GR"/>
        </w:rPr>
      </w:pPr>
      <w:r w:rsidRPr="00E139F5">
        <w:rPr>
          <w:rFonts w:ascii="Verdana" w:hAnsi="Verdana"/>
          <w:i/>
          <w:sz w:val="16"/>
          <w:szCs w:val="16"/>
          <w:lang w:val="el-GR"/>
        </w:rPr>
        <w:t xml:space="preserve"> </w:t>
      </w:r>
      <w:r w:rsidRPr="00E139F5">
        <w:rPr>
          <w:rFonts w:ascii="Verdana" w:hAnsi="Verdana"/>
          <w:b/>
          <w:sz w:val="16"/>
          <w:szCs w:val="16"/>
          <w:lang w:val="el-GR"/>
        </w:rPr>
        <w:t xml:space="preserve"> </w:t>
      </w:r>
    </w:p>
    <w:p w:rsidR="0049150D" w:rsidRPr="00C40D3B" w:rsidRDefault="00377BDC" w:rsidP="0077580B">
      <w:pPr>
        <w:jc w:val="both"/>
        <w:rPr>
          <w:rFonts w:ascii="Verdana" w:hAnsi="Verdana"/>
          <w:sz w:val="20"/>
          <w:lang w:val="el-GR" w:eastAsia="el-GR"/>
        </w:rPr>
      </w:pPr>
      <w:r>
        <w:rPr>
          <w:rFonts w:ascii="Verdana" w:hAnsi="Verdana"/>
          <w:sz w:val="20"/>
          <w:lang w:val="el-GR" w:eastAsia="el-GR"/>
        </w:rPr>
        <w:t xml:space="preserve">Στο 1,01% διαμορφώθηκε </w:t>
      </w:r>
      <w:r w:rsidRPr="00A35E84">
        <w:rPr>
          <w:rFonts w:ascii="Verdana" w:hAnsi="Verdana"/>
          <w:sz w:val="20"/>
          <w:lang w:val="el-GR" w:eastAsia="el-GR"/>
        </w:rPr>
        <w:t>το 201</w:t>
      </w:r>
      <w:r>
        <w:rPr>
          <w:rFonts w:ascii="Verdana" w:hAnsi="Verdana"/>
          <w:sz w:val="20"/>
          <w:lang w:val="el-GR" w:eastAsia="el-GR"/>
        </w:rPr>
        <w:t xml:space="preserve">6 </w:t>
      </w:r>
      <w:r w:rsidRPr="00A35E84">
        <w:rPr>
          <w:rFonts w:ascii="Verdana" w:hAnsi="Verdana"/>
          <w:sz w:val="20"/>
          <w:lang w:val="el-GR" w:eastAsia="el-GR"/>
        </w:rPr>
        <w:t>το ποσοστό των δαπανών Έρευνας &amp; Ανάπτυξης (Ε&amp;Α) επί του ΑΕΠ</w:t>
      </w:r>
      <w:r>
        <w:rPr>
          <w:rFonts w:ascii="Verdana" w:hAnsi="Verdana"/>
          <w:sz w:val="20"/>
          <w:lang w:val="el-GR" w:eastAsia="el-GR"/>
        </w:rPr>
        <w:t>, υπερβαίνοντας</w:t>
      </w:r>
      <w:r w:rsidR="00E97831">
        <w:rPr>
          <w:rFonts w:ascii="Verdana" w:hAnsi="Verdana"/>
          <w:sz w:val="20"/>
          <w:lang w:val="el-GR" w:eastAsia="el-GR"/>
        </w:rPr>
        <w:t xml:space="preserve"> για πρώτη φορά</w:t>
      </w:r>
      <w:r>
        <w:rPr>
          <w:rFonts w:ascii="Verdana" w:hAnsi="Verdana"/>
          <w:sz w:val="20"/>
          <w:lang w:val="el-GR" w:eastAsia="el-GR"/>
        </w:rPr>
        <w:t xml:space="preserve"> το </w:t>
      </w:r>
      <w:r w:rsidR="009C685B">
        <w:rPr>
          <w:rFonts w:ascii="Verdana" w:hAnsi="Verdana"/>
          <w:sz w:val="20"/>
          <w:lang w:val="el-GR" w:eastAsia="el-GR"/>
        </w:rPr>
        <w:t>κατώφλι</w:t>
      </w:r>
      <w:r w:rsidR="00981CBE">
        <w:rPr>
          <w:rFonts w:ascii="Verdana" w:hAnsi="Verdana"/>
          <w:sz w:val="20"/>
          <w:lang w:val="el-GR" w:eastAsia="el-GR"/>
        </w:rPr>
        <w:t xml:space="preserve"> </w:t>
      </w:r>
      <w:r w:rsidR="00513B60">
        <w:rPr>
          <w:rFonts w:ascii="Verdana" w:hAnsi="Verdana"/>
          <w:sz w:val="20"/>
          <w:lang w:val="el-GR" w:eastAsia="el-GR"/>
        </w:rPr>
        <w:t xml:space="preserve">του </w:t>
      </w:r>
      <w:r>
        <w:rPr>
          <w:rFonts w:ascii="Verdana" w:hAnsi="Verdana"/>
          <w:sz w:val="20"/>
          <w:lang w:val="el-GR" w:eastAsia="el-GR"/>
        </w:rPr>
        <w:t xml:space="preserve">1%, </w:t>
      </w:r>
      <w:r w:rsidR="006133E0">
        <w:rPr>
          <w:rFonts w:ascii="Verdana" w:hAnsi="Verdana"/>
          <w:sz w:val="20"/>
          <w:lang w:val="el-GR" w:eastAsia="el-GR"/>
        </w:rPr>
        <w:t xml:space="preserve"> </w:t>
      </w:r>
      <w:r>
        <w:rPr>
          <w:rFonts w:ascii="Verdana" w:hAnsi="Verdana"/>
          <w:sz w:val="20"/>
          <w:lang w:val="el-GR" w:eastAsia="el-GR"/>
        </w:rPr>
        <w:t xml:space="preserve">σύμφωνα με τα τελικά στοιχεία </w:t>
      </w:r>
      <w:r w:rsidR="0096794A" w:rsidRPr="00C7187A">
        <w:rPr>
          <w:rFonts w:ascii="Verdana" w:hAnsi="Verdana"/>
          <w:sz w:val="20"/>
          <w:lang w:val="el-GR" w:eastAsia="el-GR"/>
        </w:rPr>
        <w:t>που δημοσίευσε το Εθνικό Κέντρο</w:t>
      </w:r>
      <w:r w:rsidR="0096794A" w:rsidRPr="00A35E84">
        <w:rPr>
          <w:rFonts w:ascii="Verdana" w:hAnsi="Verdana"/>
          <w:sz w:val="20"/>
          <w:lang w:val="el-GR" w:eastAsia="el-GR"/>
        </w:rPr>
        <w:t xml:space="preserve"> Τεκμηρίωσης </w:t>
      </w:r>
      <w:r w:rsidR="004065CE" w:rsidRPr="00A35E84">
        <w:rPr>
          <w:rFonts w:ascii="Verdana" w:hAnsi="Verdana"/>
          <w:sz w:val="20"/>
          <w:lang w:val="el-GR" w:eastAsia="el-GR"/>
        </w:rPr>
        <w:t>(ΕΚΤ)</w:t>
      </w:r>
      <w:r w:rsidR="0077580B" w:rsidRPr="00A35E84">
        <w:rPr>
          <w:rFonts w:ascii="Verdana" w:hAnsi="Verdana"/>
          <w:sz w:val="20"/>
          <w:lang w:val="el-GR" w:eastAsia="el-GR"/>
        </w:rPr>
        <w:t xml:space="preserve"> και έχουν αποσταλεί στη </w:t>
      </w:r>
      <w:r w:rsidR="0077580B" w:rsidRPr="00A35E84">
        <w:rPr>
          <w:rFonts w:ascii="Verdana" w:hAnsi="Verdana"/>
          <w:sz w:val="20"/>
          <w:lang w:val="en-US" w:eastAsia="el-GR"/>
        </w:rPr>
        <w:t>Eurostat</w:t>
      </w:r>
      <w:r w:rsidR="004065CE" w:rsidRPr="00A35E84">
        <w:rPr>
          <w:rFonts w:ascii="Verdana" w:hAnsi="Verdana"/>
          <w:sz w:val="20"/>
          <w:lang w:val="el-GR" w:eastAsia="el-GR"/>
        </w:rPr>
        <w:t xml:space="preserve">. </w:t>
      </w:r>
      <w:r w:rsidR="00DD5554" w:rsidRPr="00A35E84">
        <w:rPr>
          <w:rFonts w:ascii="Verdana" w:hAnsi="Verdana"/>
          <w:sz w:val="20"/>
          <w:lang w:val="el-GR" w:eastAsia="el-GR"/>
        </w:rPr>
        <w:t xml:space="preserve">Η δημοσίευση των δεικτών </w:t>
      </w:r>
      <w:r w:rsidR="00B065C0" w:rsidRPr="00B065C0">
        <w:rPr>
          <w:rFonts w:ascii="Verdana" w:hAnsi="Verdana"/>
          <w:sz w:val="20"/>
          <w:lang w:val="el-GR" w:eastAsia="el-GR"/>
        </w:rPr>
        <w:t>(</w:t>
      </w:r>
      <w:hyperlink r:id="rId10" w:history="1">
        <w:r w:rsidR="00B065C0" w:rsidRPr="005F53C0">
          <w:rPr>
            <w:rStyle w:val="-"/>
            <w:rFonts w:ascii="Verdana" w:hAnsi="Verdana"/>
            <w:sz w:val="20"/>
            <w:lang w:val="el-GR" w:eastAsia="el-GR"/>
          </w:rPr>
          <w:t>http://metrics.ekt.gr/el/node/352</w:t>
        </w:r>
      </w:hyperlink>
      <w:r w:rsidR="00B065C0" w:rsidRPr="00B065C0">
        <w:rPr>
          <w:rFonts w:ascii="Verdana" w:hAnsi="Verdana"/>
          <w:sz w:val="20"/>
          <w:lang w:val="el-GR" w:eastAsia="el-GR"/>
        </w:rPr>
        <w:t>)</w:t>
      </w:r>
      <w:r w:rsidR="00B065C0">
        <w:rPr>
          <w:rFonts w:ascii="Verdana" w:hAnsi="Verdana"/>
          <w:sz w:val="20"/>
          <w:lang w:val="el-GR" w:eastAsia="el-GR"/>
        </w:rPr>
        <w:t xml:space="preserve"> εν</w:t>
      </w:r>
      <w:r w:rsidR="004065CE" w:rsidRPr="00A35E84">
        <w:rPr>
          <w:rFonts w:ascii="Verdana" w:hAnsi="Verdana"/>
          <w:sz w:val="20"/>
          <w:lang w:val="el-GR" w:eastAsia="el-GR"/>
        </w:rPr>
        <w:t xml:space="preserve">τάσσεται στο </w:t>
      </w:r>
      <w:r w:rsidR="0096794A" w:rsidRPr="00A35E84">
        <w:rPr>
          <w:rFonts w:ascii="Verdana" w:hAnsi="Verdana"/>
          <w:sz w:val="20"/>
          <w:lang w:val="el-GR" w:eastAsia="el-GR"/>
        </w:rPr>
        <w:t xml:space="preserve">πλαίσιο της τακτικής παραγωγής και έκδοσης των επίσημων </w:t>
      </w:r>
      <w:r w:rsidR="007A13C3" w:rsidRPr="00A35E84">
        <w:rPr>
          <w:rFonts w:ascii="Verdana" w:hAnsi="Verdana"/>
          <w:sz w:val="20"/>
          <w:lang w:val="el-GR" w:eastAsia="el-GR"/>
        </w:rPr>
        <w:t xml:space="preserve">στατιστικών </w:t>
      </w:r>
      <w:r w:rsidR="0096794A" w:rsidRPr="00A35E84">
        <w:rPr>
          <w:rFonts w:ascii="Verdana" w:hAnsi="Verdana"/>
          <w:sz w:val="20"/>
          <w:lang w:val="el-GR" w:eastAsia="el-GR"/>
        </w:rPr>
        <w:t>για την Έρευνα, Ανάπτυξη και Καινοτομία στην Ελλάδα,</w:t>
      </w:r>
      <w:r w:rsidR="004065CE" w:rsidRPr="00A35E84">
        <w:rPr>
          <w:rFonts w:ascii="Verdana" w:hAnsi="Verdana"/>
          <w:sz w:val="20"/>
          <w:lang w:val="el-GR" w:eastAsia="el-GR"/>
        </w:rPr>
        <w:t xml:space="preserve"> που πραγματοποιεί το ΕΚΤ</w:t>
      </w:r>
      <w:r w:rsidR="00DA0206">
        <w:rPr>
          <w:rFonts w:ascii="Verdana" w:hAnsi="Verdana"/>
          <w:sz w:val="20"/>
          <w:lang w:val="el-GR" w:eastAsia="el-GR"/>
        </w:rPr>
        <w:t>,</w:t>
      </w:r>
      <w:r w:rsidR="0096794A" w:rsidRPr="00A35E84">
        <w:rPr>
          <w:rFonts w:ascii="Verdana" w:hAnsi="Verdana"/>
          <w:sz w:val="20"/>
          <w:lang w:val="el-GR" w:eastAsia="el-GR"/>
        </w:rPr>
        <w:t xml:space="preserve"> </w:t>
      </w:r>
      <w:r w:rsidR="00687A3F">
        <w:rPr>
          <w:rFonts w:ascii="Verdana" w:hAnsi="Verdana"/>
          <w:sz w:val="20"/>
          <w:lang w:val="el-GR" w:eastAsia="el-GR"/>
        </w:rPr>
        <w:t>ως φορέα</w:t>
      </w:r>
      <w:r w:rsidR="00DA0206">
        <w:rPr>
          <w:rFonts w:ascii="Verdana" w:hAnsi="Verdana"/>
          <w:sz w:val="20"/>
          <w:lang w:val="el-GR" w:eastAsia="el-GR"/>
        </w:rPr>
        <w:t>ς</w:t>
      </w:r>
      <w:r w:rsidR="00687A3F">
        <w:rPr>
          <w:rFonts w:ascii="Verdana" w:hAnsi="Verdana"/>
          <w:sz w:val="20"/>
          <w:lang w:val="el-GR" w:eastAsia="el-GR"/>
        </w:rPr>
        <w:t xml:space="preserve"> </w:t>
      </w:r>
      <w:r w:rsidR="00927AD2">
        <w:rPr>
          <w:rFonts w:ascii="Verdana" w:hAnsi="Verdana"/>
          <w:sz w:val="20"/>
          <w:lang w:val="el-GR" w:eastAsia="el-GR"/>
        </w:rPr>
        <w:t xml:space="preserve">και εθνική αρχή </w:t>
      </w:r>
      <w:r w:rsidR="00687A3F">
        <w:rPr>
          <w:rFonts w:ascii="Verdana" w:hAnsi="Verdana"/>
          <w:sz w:val="20"/>
          <w:lang w:val="el-GR" w:eastAsia="el-GR"/>
        </w:rPr>
        <w:t>του Ελληνικού Στατιστικού Συστήματος</w:t>
      </w:r>
      <w:r w:rsidR="00DA0206">
        <w:rPr>
          <w:rFonts w:ascii="Verdana" w:hAnsi="Verdana"/>
          <w:sz w:val="20"/>
          <w:lang w:val="el-GR" w:eastAsia="el-GR"/>
        </w:rPr>
        <w:t>,</w:t>
      </w:r>
      <w:r w:rsidR="00687A3F">
        <w:rPr>
          <w:rFonts w:ascii="Verdana" w:hAnsi="Verdana"/>
          <w:sz w:val="20"/>
          <w:lang w:val="el-GR" w:eastAsia="el-GR"/>
        </w:rPr>
        <w:t xml:space="preserve"> με τη </w:t>
      </w:r>
      <w:r w:rsidR="0096794A" w:rsidRPr="00A35E84">
        <w:rPr>
          <w:rFonts w:ascii="Verdana" w:hAnsi="Verdana"/>
          <w:sz w:val="20"/>
          <w:lang w:val="el-GR" w:eastAsia="el-GR"/>
        </w:rPr>
        <w:t>συνεργασία τη</w:t>
      </w:r>
      <w:r w:rsidR="00687A3F">
        <w:rPr>
          <w:rFonts w:ascii="Verdana" w:hAnsi="Verdana"/>
          <w:sz w:val="20"/>
          <w:lang w:val="el-GR" w:eastAsia="el-GR"/>
        </w:rPr>
        <w:t>ς</w:t>
      </w:r>
      <w:r w:rsidR="0096794A" w:rsidRPr="00A35E84">
        <w:rPr>
          <w:rFonts w:ascii="Verdana" w:hAnsi="Verdana"/>
          <w:sz w:val="20"/>
          <w:lang w:val="el-GR" w:eastAsia="el-GR"/>
        </w:rPr>
        <w:t xml:space="preserve"> Ελληνική</w:t>
      </w:r>
      <w:r w:rsidR="00687A3F">
        <w:rPr>
          <w:rFonts w:ascii="Verdana" w:hAnsi="Verdana"/>
          <w:sz w:val="20"/>
          <w:lang w:val="el-GR" w:eastAsia="el-GR"/>
        </w:rPr>
        <w:t>ς</w:t>
      </w:r>
      <w:r w:rsidR="0096794A" w:rsidRPr="00A35E84">
        <w:rPr>
          <w:rFonts w:ascii="Verdana" w:hAnsi="Verdana"/>
          <w:sz w:val="20"/>
          <w:lang w:val="el-GR" w:eastAsia="el-GR"/>
        </w:rPr>
        <w:t xml:space="preserve"> Στατιστική</w:t>
      </w:r>
      <w:r w:rsidR="00687A3F">
        <w:rPr>
          <w:rFonts w:ascii="Verdana" w:hAnsi="Verdana"/>
          <w:sz w:val="20"/>
          <w:lang w:val="el-GR" w:eastAsia="el-GR"/>
        </w:rPr>
        <w:t>ς</w:t>
      </w:r>
      <w:r w:rsidR="0096794A" w:rsidRPr="00A35E84">
        <w:rPr>
          <w:rFonts w:ascii="Verdana" w:hAnsi="Verdana"/>
          <w:sz w:val="20"/>
          <w:lang w:val="el-GR" w:eastAsia="el-GR"/>
        </w:rPr>
        <w:t xml:space="preserve"> Αρχή</w:t>
      </w:r>
      <w:r w:rsidR="00687A3F">
        <w:rPr>
          <w:rFonts w:ascii="Verdana" w:hAnsi="Verdana"/>
          <w:sz w:val="20"/>
          <w:lang w:val="el-GR" w:eastAsia="el-GR"/>
        </w:rPr>
        <w:t>ς</w:t>
      </w:r>
      <w:r w:rsidR="0096794A" w:rsidRPr="00A35E84">
        <w:rPr>
          <w:rFonts w:ascii="Verdana" w:hAnsi="Verdana"/>
          <w:sz w:val="20"/>
          <w:lang w:val="el-GR" w:eastAsia="el-GR"/>
        </w:rPr>
        <w:t>.</w:t>
      </w:r>
    </w:p>
    <w:p w:rsidR="001759D9" w:rsidRDefault="0090039D" w:rsidP="0090039D">
      <w:pPr>
        <w:jc w:val="both"/>
        <w:rPr>
          <w:rFonts w:ascii="Verdana" w:eastAsia="Calibri" w:hAnsi="Verdana"/>
          <w:sz w:val="20"/>
          <w:lang w:val="el-GR"/>
        </w:rPr>
      </w:pPr>
      <w:r w:rsidRPr="0090039D">
        <w:rPr>
          <w:rFonts w:ascii="Verdana" w:eastAsia="Calibri" w:hAnsi="Verdana"/>
          <w:sz w:val="20"/>
          <w:lang w:val="el-GR"/>
        </w:rPr>
        <w:t xml:space="preserve"> </w:t>
      </w:r>
    </w:p>
    <w:p w:rsidR="0090039D" w:rsidRPr="0090039D" w:rsidRDefault="001759D9" w:rsidP="0090039D">
      <w:pPr>
        <w:jc w:val="both"/>
        <w:rPr>
          <w:rFonts w:ascii="Verdana" w:eastAsia="Calibri" w:hAnsi="Verdana"/>
          <w:sz w:val="20"/>
          <w:lang w:val="el-GR"/>
        </w:rPr>
      </w:pPr>
      <w:r>
        <w:rPr>
          <w:rFonts w:ascii="Verdana" w:eastAsia="Calibri" w:hAnsi="Verdana"/>
          <w:sz w:val="20"/>
          <w:lang w:val="el-GR"/>
        </w:rPr>
        <w:t>Οι</w:t>
      </w:r>
      <w:r w:rsidR="0090039D" w:rsidRPr="0090039D">
        <w:rPr>
          <w:rFonts w:ascii="Verdana" w:eastAsia="Calibri" w:hAnsi="Verdana"/>
          <w:sz w:val="20"/>
          <w:lang w:val="el-GR"/>
        </w:rPr>
        <w:t xml:space="preserve"> δαπάνες για Ε&amp;Α συνεχίζουν την αυξητική πορεία των τελευταίων ετών και το 2016 ανήλθαν σε 1.745,2 εκατ. ευρώ, το μεγαλύτερο μέχρι σήμερα ποσό δαπανών για Ε&amp;Α στη χώρα. Αναλυτικότερα, οι δαπάνες Ε&amp;Α το 2016 είναι αυξημένες κατά 50,4 εκατ. ευρώ σε σχέση με το 2015</w:t>
      </w:r>
      <w:r>
        <w:rPr>
          <w:rFonts w:ascii="Verdana" w:eastAsia="Calibri" w:hAnsi="Verdana"/>
          <w:sz w:val="20"/>
          <w:lang w:val="el-GR"/>
        </w:rPr>
        <w:t>,</w:t>
      </w:r>
      <w:r w:rsidR="0090039D" w:rsidRPr="0090039D">
        <w:rPr>
          <w:rFonts w:ascii="Verdana" w:eastAsia="Calibri" w:hAnsi="Verdana"/>
          <w:sz w:val="20"/>
          <w:lang w:val="el-GR"/>
        </w:rPr>
        <w:t xml:space="preserve"> ενώ σε σχέση με το 2011 η αύξηση ανέρχεται σε 363 εκατ. ευρώ.   </w:t>
      </w:r>
    </w:p>
    <w:p w:rsidR="0090039D" w:rsidRPr="0090039D" w:rsidRDefault="0090039D" w:rsidP="0090039D">
      <w:pPr>
        <w:jc w:val="both"/>
        <w:rPr>
          <w:rFonts w:ascii="Verdana" w:eastAsia="Calibri" w:hAnsi="Verdana"/>
          <w:sz w:val="20"/>
          <w:lang w:val="el-GR"/>
        </w:rPr>
      </w:pPr>
    </w:p>
    <w:p w:rsidR="0090039D" w:rsidRDefault="0090039D" w:rsidP="0090039D">
      <w:pPr>
        <w:jc w:val="both"/>
        <w:rPr>
          <w:rFonts w:ascii="Verdana" w:eastAsia="Calibri" w:hAnsi="Verdana"/>
          <w:sz w:val="20"/>
          <w:lang w:val="el-GR"/>
        </w:rPr>
      </w:pPr>
      <w:r w:rsidRPr="0090039D">
        <w:rPr>
          <w:rFonts w:ascii="Verdana" w:eastAsia="Calibri" w:hAnsi="Verdana"/>
          <w:sz w:val="20"/>
          <w:lang w:val="el-GR"/>
        </w:rPr>
        <w:t xml:space="preserve">Αντίστοιχα, ο δείκτης "Ένταση Ε&amp;Α", που εκφράζει τις δαπάνες Ε&amp;Α ως ποσοστό του ΑΕΠ, διαμορφώθηκε στο 1,01% το 2016, από 0,97% το 2015 (και 0,67% το 2011). Με βάση τον δείκτη αυτό,  η Ελλάδα κατατάσσεται στην 19η θέση μεταξύ των κρατών μελών της ΕΕ28, βελτιώνοντας κατά 3 θέσεις την κατάταξή της σε σχέση με το 2015 και προσεγγίζοντας για πρώτη φορά χώρες όπως η Ιρλανδία και η Ισπανία.  </w:t>
      </w:r>
    </w:p>
    <w:p w:rsidR="0077580B" w:rsidRPr="00A35E84" w:rsidRDefault="0077580B" w:rsidP="0077580B">
      <w:pPr>
        <w:jc w:val="both"/>
        <w:rPr>
          <w:rFonts w:ascii="Verdana" w:eastAsia="Calibri" w:hAnsi="Verdana"/>
          <w:sz w:val="20"/>
          <w:lang w:val="el-GR"/>
        </w:rPr>
      </w:pPr>
    </w:p>
    <w:p w:rsidR="009F616C" w:rsidRPr="001C083B" w:rsidRDefault="00B0320A" w:rsidP="009F616C">
      <w:pPr>
        <w:jc w:val="both"/>
        <w:rPr>
          <w:rFonts w:ascii="Verdana" w:hAnsi="Verdana"/>
          <w:sz w:val="20"/>
          <w:lang w:val="el-GR" w:eastAsia="el-GR"/>
        </w:rPr>
      </w:pPr>
      <w:r>
        <w:rPr>
          <w:rFonts w:ascii="Verdana" w:hAnsi="Verdana"/>
          <w:sz w:val="20"/>
          <w:lang w:val="el-GR" w:eastAsia="el-GR"/>
        </w:rPr>
        <w:t xml:space="preserve">Σημαντική αύξηση δαπανών Ε&amp;Α καταγράφεται στον επιχειρηματικό τομέα, </w:t>
      </w:r>
      <w:r w:rsidRPr="00A35E84">
        <w:rPr>
          <w:rFonts w:ascii="Verdana" w:hAnsi="Verdana"/>
          <w:sz w:val="20"/>
          <w:lang w:val="el-GR" w:eastAsia="el-GR"/>
        </w:rPr>
        <w:t xml:space="preserve">στον οποίο πραγματοποιήθηκαν δαπάνες Ε&amp;Α ύψους </w:t>
      </w:r>
      <w:r>
        <w:rPr>
          <w:rFonts w:ascii="Verdana" w:eastAsia="Calibri" w:hAnsi="Verdana"/>
          <w:sz w:val="20"/>
          <w:lang w:val="el-GR"/>
        </w:rPr>
        <w:t>740,4</w:t>
      </w:r>
      <w:r w:rsidRPr="00A35E84">
        <w:rPr>
          <w:rFonts w:ascii="Verdana" w:eastAsia="Calibri" w:hAnsi="Verdana"/>
          <w:sz w:val="20"/>
          <w:lang w:val="el-GR"/>
        </w:rPr>
        <w:t xml:space="preserve"> εκατ. ευρώ</w:t>
      </w:r>
      <w:r w:rsidR="00D23365">
        <w:rPr>
          <w:rFonts w:ascii="Verdana" w:eastAsia="Calibri" w:hAnsi="Verdana"/>
          <w:sz w:val="20"/>
          <w:lang w:val="el-GR"/>
        </w:rPr>
        <w:t xml:space="preserve">. Οι δαπάνες αυτές είναι </w:t>
      </w:r>
      <w:r>
        <w:rPr>
          <w:rFonts w:ascii="Verdana" w:hAnsi="Verdana"/>
          <w:sz w:val="20"/>
          <w:lang w:val="el-GR" w:eastAsia="el-GR"/>
        </w:rPr>
        <w:t xml:space="preserve">αυξημένες κατά 178,8 εκατ. </w:t>
      </w:r>
      <w:r w:rsidR="00D23365">
        <w:rPr>
          <w:rFonts w:ascii="Verdana" w:hAnsi="Verdana"/>
          <w:sz w:val="20"/>
          <w:lang w:val="el-GR" w:eastAsia="el-GR"/>
        </w:rPr>
        <w:t>ε</w:t>
      </w:r>
      <w:r>
        <w:rPr>
          <w:rFonts w:ascii="Verdana" w:hAnsi="Verdana"/>
          <w:sz w:val="20"/>
          <w:lang w:val="el-GR" w:eastAsia="el-GR"/>
        </w:rPr>
        <w:t xml:space="preserve">υρώ (αύξηση 31,8%) σε σχέση με το 2015. </w:t>
      </w:r>
      <w:r w:rsidR="00EF5AC3">
        <w:rPr>
          <w:rFonts w:ascii="Verdana" w:hAnsi="Verdana"/>
          <w:sz w:val="20"/>
          <w:lang w:val="el-GR" w:eastAsia="el-GR"/>
        </w:rPr>
        <w:t>Γ</w:t>
      </w:r>
      <w:r w:rsidR="00D23365">
        <w:rPr>
          <w:rFonts w:ascii="Verdana" w:hAnsi="Verdana"/>
          <w:sz w:val="20"/>
          <w:lang w:val="el-GR" w:eastAsia="el-GR"/>
        </w:rPr>
        <w:t>ια πρώτη φορά, ο</w:t>
      </w:r>
      <w:r>
        <w:rPr>
          <w:rFonts w:ascii="Verdana" w:hAnsi="Verdana"/>
          <w:sz w:val="20"/>
          <w:lang w:val="el-GR" w:eastAsia="el-GR"/>
        </w:rPr>
        <w:t xml:space="preserve"> τομέας των επιχειρήσεων έχει τη μεγαλύτερη συνεισφορά στον </w:t>
      </w:r>
      <w:r w:rsidR="006966EB" w:rsidRPr="00A35E84">
        <w:rPr>
          <w:rFonts w:ascii="Verdana" w:hAnsi="Verdana"/>
          <w:sz w:val="20"/>
          <w:lang w:val="el-GR" w:eastAsia="el-GR"/>
        </w:rPr>
        <w:t xml:space="preserve">δείκτη </w:t>
      </w:r>
      <w:r w:rsidR="007D6B95">
        <w:rPr>
          <w:rFonts w:ascii="Verdana" w:hAnsi="Verdana"/>
          <w:sz w:val="20"/>
          <w:lang w:val="el-GR" w:eastAsia="el-GR"/>
        </w:rPr>
        <w:t>"</w:t>
      </w:r>
      <w:r w:rsidR="00981CBE">
        <w:rPr>
          <w:rFonts w:ascii="Verdana" w:hAnsi="Verdana"/>
          <w:sz w:val="20"/>
          <w:lang w:val="el-GR" w:eastAsia="el-GR"/>
        </w:rPr>
        <w:t>Ένταση Ε&amp;Α</w:t>
      </w:r>
      <w:r w:rsidR="007D6B95">
        <w:rPr>
          <w:rFonts w:ascii="Verdana" w:hAnsi="Verdana"/>
          <w:sz w:val="20"/>
          <w:lang w:val="el-GR" w:eastAsia="el-GR"/>
        </w:rPr>
        <w:t>"</w:t>
      </w:r>
      <w:r w:rsidR="00981CBE">
        <w:rPr>
          <w:rFonts w:ascii="Verdana" w:hAnsi="Verdana"/>
          <w:sz w:val="20"/>
          <w:lang w:val="el-GR" w:eastAsia="el-GR"/>
        </w:rPr>
        <w:t xml:space="preserve"> </w:t>
      </w:r>
      <w:r w:rsidR="004353C1" w:rsidRPr="00A35E84">
        <w:rPr>
          <w:rFonts w:ascii="Verdana" w:hAnsi="Verdana"/>
          <w:sz w:val="20"/>
          <w:lang w:val="el-GR" w:eastAsia="el-GR"/>
        </w:rPr>
        <w:t>(0,</w:t>
      </w:r>
      <w:r w:rsidR="004353C1">
        <w:rPr>
          <w:rFonts w:ascii="Verdana" w:hAnsi="Verdana"/>
          <w:sz w:val="20"/>
          <w:lang w:val="el-GR" w:eastAsia="el-GR"/>
        </w:rPr>
        <w:t>43</w:t>
      </w:r>
      <w:r w:rsidR="004353C1" w:rsidRPr="00A35E84">
        <w:rPr>
          <w:rFonts w:ascii="Verdana" w:hAnsi="Verdana"/>
          <w:sz w:val="20"/>
          <w:lang w:val="el-GR" w:eastAsia="el-GR"/>
        </w:rPr>
        <w:t>% του ΑΕΠ)</w:t>
      </w:r>
      <w:r>
        <w:rPr>
          <w:rFonts w:ascii="Verdana" w:hAnsi="Verdana"/>
          <w:sz w:val="20"/>
          <w:lang w:val="el-GR" w:eastAsia="el-GR"/>
        </w:rPr>
        <w:t>.</w:t>
      </w:r>
      <w:r w:rsidR="004353C1">
        <w:rPr>
          <w:rFonts w:ascii="Verdana" w:hAnsi="Verdana"/>
          <w:sz w:val="20"/>
          <w:lang w:val="el-GR" w:eastAsia="el-GR"/>
        </w:rPr>
        <w:t xml:space="preserve"> </w:t>
      </w:r>
      <w:r w:rsidR="009F616C">
        <w:rPr>
          <w:rFonts w:ascii="Verdana" w:hAnsi="Verdana"/>
          <w:sz w:val="20"/>
          <w:lang w:val="el-GR" w:eastAsia="el-GR"/>
        </w:rPr>
        <w:t xml:space="preserve">Ακολουθεί ο </w:t>
      </w:r>
      <w:r w:rsidR="005F6BC3" w:rsidRPr="00A35E84">
        <w:rPr>
          <w:rFonts w:ascii="Verdana" w:hAnsi="Verdana"/>
          <w:sz w:val="20"/>
          <w:lang w:val="el-GR" w:eastAsia="el-GR"/>
        </w:rPr>
        <w:t>τομέα</w:t>
      </w:r>
      <w:r w:rsidR="009F616C">
        <w:rPr>
          <w:rFonts w:ascii="Verdana" w:hAnsi="Verdana"/>
          <w:sz w:val="20"/>
          <w:lang w:val="el-GR" w:eastAsia="el-GR"/>
        </w:rPr>
        <w:t>ς</w:t>
      </w:r>
      <w:r w:rsidR="005F6BC3" w:rsidRPr="00A35E84">
        <w:rPr>
          <w:rFonts w:ascii="Verdana" w:hAnsi="Verdana"/>
          <w:sz w:val="20"/>
          <w:lang w:val="el-GR" w:eastAsia="el-GR"/>
        </w:rPr>
        <w:t xml:space="preserve"> </w:t>
      </w:r>
      <w:r w:rsidR="00687A3F" w:rsidRPr="00687A3F">
        <w:rPr>
          <w:rFonts w:ascii="Verdana" w:hAnsi="Verdana"/>
          <w:sz w:val="20"/>
          <w:lang w:val="el-GR" w:eastAsia="el-GR"/>
        </w:rPr>
        <w:t>της τριτοβάθμιας εκπαίδευσης</w:t>
      </w:r>
      <w:r w:rsidR="009F616C">
        <w:rPr>
          <w:rFonts w:ascii="Verdana" w:hAnsi="Verdana"/>
          <w:sz w:val="20"/>
          <w:lang w:val="el-GR" w:eastAsia="el-GR"/>
        </w:rPr>
        <w:t>, στον οποίο</w:t>
      </w:r>
      <w:r w:rsidR="00687A3F" w:rsidRPr="00687A3F">
        <w:rPr>
          <w:rFonts w:ascii="Verdana" w:hAnsi="Verdana"/>
          <w:sz w:val="20"/>
          <w:lang w:val="el-GR" w:eastAsia="el-GR"/>
        </w:rPr>
        <w:t xml:space="preserve"> </w:t>
      </w:r>
      <w:r w:rsidR="005F6BC3" w:rsidRPr="00A35E84">
        <w:rPr>
          <w:rFonts w:ascii="Verdana" w:hAnsi="Verdana"/>
          <w:sz w:val="20"/>
          <w:lang w:val="el-GR" w:eastAsia="el-GR"/>
        </w:rPr>
        <w:t xml:space="preserve">πραγματοποιήθηκαν δαπάνες </w:t>
      </w:r>
      <w:r w:rsidR="00687A3F">
        <w:rPr>
          <w:rFonts w:ascii="Verdana" w:eastAsia="Calibri" w:hAnsi="Verdana"/>
          <w:sz w:val="20"/>
          <w:lang w:val="el-GR"/>
        </w:rPr>
        <w:t>5</w:t>
      </w:r>
      <w:r w:rsidR="001759D9">
        <w:rPr>
          <w:rFonts w:ascii="Verdana" w:eastAsia="Calibri" w:hAnsi="Verdana"/>
          <w:sz w:val="20"/>
          <w:lang w:val="el-GR"/>
        </w:rPr>
        <w:t>5</w:t>
      </w:r>
      <w:r w:rsidR="001C4AE8">
        <w:rPr>
          <w:rFonts w:ascii="Verdana" w:eastAsia="Calibri" w:hAnsi="Verdana"/>
          <w:sz w:val="20"/>
          <w:lang w:val="el-GR"/>
        </w:rPr>
        <w:t>9,4</w:t>
      </w:r>
      <w:r w:rsidR="005F6BC3" w:rsidRPr="00A35E84">
        <w:rPr>
          <w:rFonts w:ascii="Verdana" w:eastAsia="Calibri" w:hAnsi="Verdana"/>
          <w:sz w:val="20"/>
          <w:lang w:val="el-GR"/>
        </w:rPr>
        <w:t xml:space="preserve"> εκατ. </w:t>
      </w:r>
      <w:r w:rsidR="004065CE" w:rsidRPr="00A35E84">
        <w:rPr>
          <w:rFonts w:ascii="Verdana" w:eastAsia="Calibri" w:hAnsi="Verdana"/>
          <w:sz w:val="20"/>
          <w:lang w:val="el-GR"/>
        </w:rPr>
        <w:t>ε</w:t>
      </w:r>
      <w:r w:rsidR="005F6BC3" w:rsidRPr="00A35E84">
        <w:rPr>
          <w:rFonts w:ascii="Verdana" w:eastAsia="Calibri" w:hAnsi="Verdana"/>
          <w:sz w:val="20"/>
          <w:lang w:val="el-GR"/>
        </w:rPr>
        <w:t xml:space="preserve">υρώ </w:t>
      </w:r>
      <w:r w:rsidR="004065CE" w:rsidRPr="00A35E84">
        <w:rPr>
          <w:rFonts w:ascii="Verdana" w:eastAsia="Calibri" w:hAnsi="Verdana"/>
          <w:sz w:val="20"/>
          <w:lang w:val="el-GR"/>
        </w:rPr>
        <w:t>(</w:t>
      </w:r>
      <w:r w:rsidR="005F6BC3" w:rsidRPr="00A35E84">
        <w:rPr>
          <w:rFonts w:ascii="Verdana" w:eastAsia="Calibri" w:hAnsi="Verdana"/>
          <w:sz w:val="20"/>
          <w:lang w:val="el-GR"/>
        </w:rPr>
        <w:t>0,32% του ΑΕΠ</w:t>
      </w:r>
      <w:r w:rsidR="004065CE" w:rsidRPr="00A35E84">
        <w:rPr>
          <w:rFonts w:ascii="Verdana" w:eastAsia="Calibri" w:hAnsi="Verdana"/>
          <w:sz w:val="20"/>
          <w:lang w:val="el-GR"/>
        </w:rPr>
        <w:t>)</w:t>
      </w:r>
      <w:r w:rsidR="004353C1">
        <w:rPr>
          <w:rFonts w:ascii="Verdana" w:eastAsia="Calibri" w:hAnsi="Verdana"/>
          <w:sz w:val="20"/>
          <w:lang w:val="el-GR"/>
        </w:rPr>
        <w:t xml:space="preserve"> και ο </w:t>
      </w:r>
      <w:r w:rsidR="009F616C" w:rsidRPr="001C083B">
        <w:rPr>
          <w:rFonts w:ascii="Verdana" w:hAnsi="Verdana"/>
          <w:sz w:val="20"/>
          <w:lang w:val="el-GR" w:eastAsia="el-GR"/>
        </w:rPr>
        <w:t>κρατικό</w:t>
      </w:r>
      <w:r w:rsidR="004353C1">
        <w:rPr>
          <w:rFonts w:ascii="Verdana" w:hAnsi="Verdana"/>
          <w:sz w:val="20"/>
          <w:lang w:val="el-GR" w:eastAsia="el-GR"/>
        </w:rPr>
        <w:t>ς</w:t>
      </w:r>
      <w:r w:rsidR="009F616C" w:rsidRPr="001C083B">
        <w:rPr>
          <w:rFonts w:ascii="Verdana" w:hAnsi="Verdana"/>
          <w:sz w:val="20"/>
          <w:lang w:val="el-GR" w:eastAsia="el-GR"/>
        </w:rPr>
        <w:t xml:space="preserve"> τομέα</w:t>
      </w:r>
      <w:r w:rsidR="004353C1">
        <w:rPr>
          <w:rFonts w:ascii="Verdana" w:hAnsi="Verdana"/>
          <w:sz w:val="20"/>
          <w:lang w:val="el-GR" w:eastAsia="el-GR"/>
        </w:rPr>
        <w:t>ς</w:t>
      </w:r>
      <w:r w:rsidR="009F616C" w:rsidRPr="001C083B">
        <w:rPr>
          <w:rFonts w:ascii="Verdana" w:hAnsi="Verdana"/>
          <w:sz w:val="20"/>
          <w:lang w:val="el-GR" w:eastAsia="el-GR"/>
        </w:rPr>
        <w:t xml:space="preserve"> </w:t>
      </w:r>
      <w:r w:rsidR="004353C1">
        <w:rPr>
          <w:rFonts w:ascii="Verdana" w:hAnsi="Verdana"/>
          <w:sz w:val="20"/>
          <w:lang w:val="el-GR" w:eastAsia="el-GR"/>
        </w:rPr>
        <w:t xml:space="preserve">στον οποίο </w:t>
      </w:r>
      <w:r w:rsidR="009F616C" w:rsidRPr="001C083B">
        <w:rPr>
          <w:rFonts w:ascii="Verdana" w:hAnsi="Verdana"/>
          <w:sz w:val="20"/>
          <w:lang w:val="el-GR" w:eastAsia="el-GR"/>
        </w:rPr>
        <w:t xml:space="preserve">πραγματοποιήθηκαν δαπάνες </w:t>
      </w:r>
      <w:r w:rsidR="001C4AE8">
        <w:rPr>
          <w:rFonts w:ascii="Verdana" w:hAnsi="Verdana"/>
          <w:sz w:val="20"/>
          <w:lang w:val="el-GR" w:eastAsia="el-GR"/>
        </w:rPr>
        <w:t>4</w:t>
      </w:r>
      <w:r w:rsidR="00876189" w:rsidRPr="00876189">
        <w:rPr>
          <w:rFonts w:ascii="Verdana" w:hAnsi="Verdana"/>
          <w:sz w:val="20"/>
          <w:lang w:val="el-GR" w:eastAsia="el-GR"/>
        </w:rPr>
        <w:t>38</w:t>
      </w:r>
      <w:r w:rsidR="001C4AE8">
        <w:rPr>
          <w:rFonts w:ascii="Verdana" w:hAnsi="Verdana"/>
          <w:sz w:val="20"/>
          <w:lang w:val="el-GR" w:eastAsia="el-GR"/>
        </w:rPr>
        <w:t>,</w:t>
      </w:r>
      <w:r w:rsidR="00876189" w:rsidRPr="00876189">
        <w:rPr>
          <w:rFonts w:ascii="Verdana" w:hAnsi="Verdana"/>
          <w:sz w:val="20"/>
          <w:lang w:val="el-GR" w:eastAsia="el-GR"/>
        </w:rPr>
        <w:t>8</w:t>
      </w:r>
      <w:r w:rsidR="009F616C" w:rsidRPr="001C083B">
        <w:rPr>
          <w:rFonts w:ascii="Verdana" w:hAnsi="Verdana"/>
          <w:sz w:val="20"/>
          <w:lang w:val="el-GR" w:eastAsia="el-GR"/>
        </w:rPr>
        <w:t xml:space="preserve"> εκατ. ευρώ (0,25% του ΑΕΠ)</w:t>
      </w:r>
      <w:r w:rsidR="004353C1">
        <w:rPr>
          <w:rFonts w:ascii="Verdana" w:hAnsi="Verdana"/>
          <w:sz w:val="20"/>
          <w:lang w:val="el-GR" w:eastAsia="el-GR"/>
        </w:rPr>
        <w:t>.</w:t>
      </w:r>
      <w:r>
        <w:rPr>
          <w:rFonts w:ascii="Verdana" w:hAnsi="Verdana"/>
          <w:sz w:val="20"/>
          <w:lang w:val="el-GR" w:eastAsia="el-GR"/>
        </w:rPr>
        <w:t xml:space="preserve"> </w:t>
      </w:r>
      <w:r w:rsidR="004353C1">
        <w:rPr>
          <w:rFonts w:ascii="Verdana" w:hAnsi="Verdana"/>
          <w:sz w:val="20"/>
          <w:lang w:val="el-GR" w:eastAsia="el-GR"/>
        </w:rPr>
        <w:t xml:space="preserve">Ο τομέας </w:t>
      </w:r>
      <w:r w:rsidR="009F616C" w:rsidRPr="001C083B">
        <w:rPr>
          <w:rFonts w:ascii="Verdana" w:hAnsi="Verdana"/>
          <w:sz w:val="20"/>
          <w:lang w:val="el-GR" w:eastAsia="el-GR"/>
        </w:rPr>
        <w:t>των ιδιωτικών μη κερδοσκοπικών ιδρυμάτων έχει τη μικρότερη συνεισφορά (</w:t>
      </w:r>
      <w:r>
        <w:rPr>
          <w:rFonts w:ascii="Verdana" w:hAnsi="Verdana"/>
          <w:sz w:val="20"/>
          <w:lang w:val="el-GR" w:eastAsia="el-GR"/>
        </w:rPr>
        <w:t>15,6</w:t>
      </w:r>
      <w:r w:rsidR="009F616C" w:rsidRPr="001C083B">
        <w:rPr>
          <w:rFonts w:ascii="Verdana" w:hAnsi="Verdana"/>
          <w:sz w:val="20"/>
          <w:lang w:val="el-GR" w:eastAsia="el-GR"/>
        </w:rPr>
        <w:t xml:space="preserve"> εκατ. ευρώ, 0,01% του ΑΕΠ). </w:t>
      </w:r>
    </w:p>
    <w:p w:rsidR="009F616C" w:rsidRDefault="009F616C" w:rsidP="0077580B">
      <w:pPr>
        <w:jc w:val="both"/>
        <w:rPr>
          <w:rFonts w:ascii="Verdana" w:eastAsia="Calibri" w:hAnsi="Verdana"/>
          <w:sz w:val="20"/>
          <w:lang w:val="el-GR"/>
        </w:rPr>
      </w:pPr>
    </w:p>
    <w:p w:rsidR="00472A13" w:rsidRPr="0039624E" w:rsidRDefault="00665EF1" w:rsidP="00665EF1">
      <w:pPr>
        <w:jc w:val="both"/>
        <w:rPr>
          <w:rFonts w:ascii="Verdana" w:hAnsi="Verdana"/>
          <w:sz w:val="20"/>
          <w:lang w:val="el-GR" w:eastAsia="el-GR"/>
        </w:rPr>
      </w:pPr>
      <w:r w:rsidRPr="00665EF1">
        <w:rPr>
          <w:rFonts w:ascii="Verdana" w:hAnsi="Verdana"/>
          <w:sz w:val="20"/>
          <w:lang w:val="el-GR" w:eastAsia="el-GR"/>
        </w:rPr>
        <w:t xml:space="preserve">Η μεγαλύτερη πηγή χρηματοδότησης Ε&amp;Α για το 2016 παραμένει η κρατική χρηματοδότηση με 746,8 εκατ. ευρώ και μερίδιο 42,6% επί του συνόλου. Η κρατική χρηματοδότηση υποστηρίζει δραστηριότητες Ε&amp;Α σε όλους τους τομείς εκτέλεσης Ε&amp;Α και αποτελεί την κυριότερη πηγή χρηματοδότησης για την τριτοβάθμια εκπαίδευση και τον κρατικό τομέα. Επιμερίζοντας την κρατική χρηματοδότηση, </w:t>
      </w:r>
      <w:r w:rsidR="00927AD2">
        <w:rPr>
          <w:rFonts w:ascii="Verdana" w:hAnsi="Verdana"/>
          <w:sz w:val="20"/>
          <w:lang w:val="el-GR" w:eastAsia="el-GR"/>
        </w:rPr>
        <w:t xml:space="preserve">σημαντική </w:t>
      </w:r>
      <w:r w:rsidRPr="00665EF1">
        <w:rPr>
          <w:rFonts w:ascii="Verdana" w:hAnsi="Verdana"/>
          <w:sz w:val="20"/>
          <w:lang w:val="el-GR" w:eastAsia="el-GR"/>
        </w:rPr>
        <w:t>αύξηση καταγράφεται στα κονδύλια τα οποία διατέθηκαν από τον τακτικό προϋπολογισμό (κατά 104,8 εκατ. ευρώ σε σχέση με το 2015) και το εθνικό σκέλος του Προγράμματος Δημοσίων Επενδύσεων (κατά 24,4 εκατ. ευρώ σε σχέση με το 2015).</w:t>
      </w:r>
      <w:r w:rsidR="00472A13">
        <w:rPr>
          <w:rFonts w:ascii="Verdana" w:hAnsi="Verdana"/>
          <w:sz w:val="20"/>
          <w:lang w:val="el-GR" w:eastAsia="el-GR"/>
        </w:rPr>
        <w:t xml:space="preserve"> </w:t>
      </w:r>
      <w:r w:rsidR="00472A13" w:rsidRPr="00472A13">
        <w:rPr>
          <w:rFonts w:ascii="Verdana" w:hAnsi="Verdana"/>
          <w:sz w:val="20"/>
          <w:lang w:val="el-GR" w:eastAsia="el-GR"/>
        </w:rPr>
        <w:t xml:space="preserve">Οι διατεθείσες από το ΕΣΠΑ 2014-2020 κρατικές πιστώσεις συνέβαλαν σε μικρότερο </w:t>
      </w:r>
      <w:r w:rsidR="00EF5AC3" w:rsidRPr="00472A13">
        <w:rPr>
          <w:rFonts w:ascii="Verdana" w:hAnsi="Verdana"/>
          <w:sz w:val="20"/>
          <w:lang w:val="el-GR" w:eastAsia="el-GR"/>
        </w:rPr>
        <w:t xml:space="preserve">βαθμό </w:t>
      </w:r>
      <w:r w:rsidR="00472A13" w:rsidRPr="00472A13">
        <w:rPr>
          <w:rFonts w:ascii="Verdana" w:hAnsi="Verdana"/>
          <w:sz w:val="20"/>
          <w:lang w:val="el-GR" w:eastAsia="el-GR"/>
        </w:rPr>
        <w:t>από τα προηγούμενα έτη</w:t>
      </w:r>
      <w:r w:rsidR="00EF5AC3">
        <w:rPr>
          <w:rFonts w:ascii="Verdana" w:hAnsi="Verdana"/>
          <w:sz w:val="20"/>
          <w:lang w:val="el-GR" w:eastAsia="el-GR"/>
        </w:rPr>
        <w:t>,</w:t>
      </w:r>
      <w:r w:rsidR="00472A13" w:rsidRPr="00472A13">
        <w:rPr>
          <w:rFonts w:ascii="Verdana" w:hAnsi="Verdana"/>
          <w:sz w:val="20"/>
          <w:lang w:val="el-GR" w:eastAsia="el-GR"/>
        </w:rPr>
        <w:t xml:space="preserve"> στη χρηματοδότηση δαπανών Ε&amp;Α που πραγματοποιήθηκαν εντός του 2016. </w:t>
      </w:r>
    </w:p>
    <w:p w:rsidR="00665EF1" w:rsidRPr="00665EF1" w:rsidRDefault="00665EF1" w:rsidP="00665EF1">
      <w:pPr>
        <w:jc w:val="both"/>
        <w:rPr>
          <w:rFonts w:ascii="Verdana" w:hAnsi="Verdana"/>
          <w:sz w:val="20"/>
          <w:lang w:val="el-GR" w:eastAsia="el-GR"/>
        </w:rPr>
      </w:pPr>
    </w:p>
    <w:p w:rsidR="00665EF1" w:rsidRPr="00665EF1" w:rsidRDefault="00510845" w:rsidP="00665EF1">
      <w:pPr>
        <w:jc w:val="both"/>
        <w:rPr>
          <w:rFonts w:ascii="Verdana" w:hAnsi="Verdana"/>
          <w:sz w:val="20"/>
          <w:lang w:val="el-GR" w:eastAsia="el-GR"/>
        </w:rPr>
      </w:pPr>
      <w:r>
        <w:rPr>
          <w:rFonts w:ascii="Verdana" w:hAnsi="Verdana"/>
          <w:sz w:val="20"/>
          <w:lang w:val="el-GR" w:eastAsia="el-GR"/>
        </w:rPr>
        <w:t>Μεγάλη</w:t>
      </w:r>
      <w:r w:rsidRPr="00665EF1">
        <w:rPr>
          <w:rFonts w:ascii="Verdana" w:hAnsi="Verdana"/>
          <w:sz w:val="20"/>
          <w:lang w:val="el-GR" w:eastAsia="el-GR"/>
        </w:rPr>
        <w:t xml:space="preserve"> </w:t>
      </w:r>
      <w:r w:rsidR="00665EF1" w:rsidRPr="00665EF1">
        <w:rPr>
          <w:rFonts w:ascii="Verdana" w:hAnsi="Verdana"/>
          <w:sz w:val="20"/>
          <w:lang w:val="el-GR" w:eastAsia="el-GR"/>
        </w:rPr>
        <w:t>αύξηση καταγράφεται στη δεύτερη μεγ</w:t>
      </w:r>
      <w:r w:rsidR="00D23365">
        <w:rPr>
          <w:rFonts w:ascii="Verdana" w:hAnsi="Verdana"/>
          <w:sz w:val="20"/>
          <w:lang w:val="el-GR" w:eastAsia="el-GR"/>
        </w:rPr>
        <w:t>αλύτερη</w:t>
      </w:r>
      <w:r w:rsidR="00665EF1" w:rsidRPr="00665EF1">
        <w:rPr>
          <w:rFonts w:ascii="Verdana" w:hAnsi="Verdana"/>
          <w:sz w:val="20"/>
          <w:lang w:val="el-GR" w:eastAsia="el-GR"/>
        </w:rPr>
        <w:t xml:space="preserve"> πηγή χρηματοδότησης, τον επιχειρηματικό τομέα, ο οποίος χρηματοδοτεί με 705,5 εκατ. ευρώ (ποσοστό 40,2%</w:t>
      </w:r>
      <w:r>
        <w:rPr>
          <w:rFonts w:ascii="Verdana" w:hAnsi="Verdana"/>
          <w:sz w:val="20"/>
          <w:lang w:val="el-GR" w:eastAsia="el-GR"/>
        </w:rPr>
        <w:t xml:space="preserve"> του συνόλου</w:t>
      </w:r>
      <w:r w:rsidR="00665EF1" w:rsidRPr="00665EF1">
        <w:rPr>
          <w:rFonts w:ascii="Verdana" w:hAnsi="Verdana"/>
          <w:sz w:val="20"/>
          <w:lang w:val="el-GR" w:eastAsia="el-GR"/>
        </w:rPr>
        <w:t xml:space="preserve">) τις δραστηριότητες Ε&amp;Α στη χώρα. Το μεγαλύτερο μέρος, </w:t>
      </w:r>
      <w:r w:rsidR="00665EF1">
        <w:rPr>
          <w:rFonts w:ascii="Verdana" w:hAnsi="Verdana"/>
          <w:sz w:val="20"/>
          <w:lang w:val="el-GR" w:eastAsia="el-GR"/>
        </w:rPr>
        <w:t>648,5</w:t>
      </w:r>
      <w:r w:rsidR="00665EF1" w:rsidRPr="00665EF1">
        <w:rPr>
          <w:rFonts w:ascii="Verdana" w:hAnsi="Verdana"/>
          <w:sz w:val="20"/>
          <w:lang w:val="el-GR" w:eastAsia="el-GR"/>
        </w:rPr>
        <w:t xml:space="preserve"> εκατ. ευρώ, επενδύεται σε Ε&amp;Α που διενεργείται </w:t>
      </w:r>
      <w:r w:rsidR="00D23365">
        <w:rPr>
          <w:rFonts w:ascii="Verdana" w:hAnsi="Verdana"/>
          <w:sz w:val="20"/>
          <w:lang w:val="el-GR" w:eastAsia="el-GR"/>
        </w:rPr>
        <w:t xml:space="preserve">από </w:t>
      </w:r>
      <w:r w:rsidR="00665EF1" w:rsidRPr="00665EF1">
        <w:rPr>
          <w:rFonts w:ascii="Verdana" w:hAnsi="Verdana"/>
          <w:sz w:val="20"/>
          <w:lang w:val="el-GR" w:eastAsia="el-GR"/>
        </w:rPr>
        <w:t>τις ίδιες τις επιχειρήσεις, ενώ το υπόλοιπο ποσό χρηματοδοτεί δραστηριότητες Ε&amp;Α στον τομέα της τριτοβάθμιας εκπαίδευσης (</w:t>
      </w:r>
      <w:r w:rsidR="00665EF1">
        <w:rPr>
          <w:rFonts w:ascii="Verdana" w:hAnsi="Verdana"/>
          <w:sz w:val="20"/>
          <w:lang w:val="el-GR" w:eastAsia="el-GR"/>
        </w:rPr>
        <w:t>40,8</w:t>
      </w:r>
      <w:r w:rsidR="00665EF1" w:rsidRPr="00665EF1">
        <w:rPr>
          <w:rFonts w:ascii="Verdana" w:hAnsi="Verdana"/>
          <w:sz w:val="20"/>
          <w:lang w:val="el-GR" w:eastAsia="el-GR"/>
        </w:rPr>
        <w:t xml:space="preserve"> εκατ. ευρώ), στον κρατικό τομέα (14</w:t>
      </w:r>
      <w:r w:rsidR="00665EF1">
        <w:rPr>
          <w:rFonts w:ascii="Verdana" w:hAnsi="Verdana"/>
          <w:sz w:val="20"/>
          <w:lang w:val="el-GR" w:eastAsia="el-GR"/>
        </w:rPr>
        <w:t>,1</w:t>
      </w:r>
      <w:r w:rsidR="00665EF1" w:rsidRPr="00665EF1">
        <w:rPr>
          <w:rFonts w:ascii="Verdana" w:hAnsi="Verdana"/>
          <w:sz w:val="20"/>
          <w:lang w:val="el-GR" w:eastAsia="el-GR"/>
        </w:rPr>
        <w:t xml:space="preserve"> εκατ. ευρώ) και σε ιδιωτικά μη κερδοσκοπικά ιδρύματα (2,2 εκατ. ευρώ).</w:t>
      </w:r>
    </w:p>
    <w:p w:rsidR="00665EF1" w:rsidRPr="00665EF1" w:rsidRDefault="00665EF1" w:rsidP="00665EF1">
      <w:pPr>
        <w:jc w:val="both"/>
        <w:rPr>
          <w:rFonts w:ascii="Verdana" w:hAnsi="Verdana"/>
          <w:sz w:val="20"/>
          <w:lang w:val="el-GR" w:eastAsia="el-GR"/>
        </w:rPr>
      </w:pPr>
    </w:p>
    <w:p w:rsidR="00665EF1" w:rsidRDefault="00665EF1" w:rsidP="00665EF1">
      <w:pPr>
        <w:jc w:val="both"/>
        <w:rPr>
          <w:rFonts w:ascii="Verdana" w:hAnsi="Verdana"/>
          <w:sz w:val="20"/>
          <w:lang w:val="el-GR" w:eastAsia="el-GR"/>
        </w:rPr>
      </w:pPr>
      <w:r w:rsidRPr="00665EF1">
        <w:rPr>
          <w:rFonts w:ascii="Verdana" w:hAnsi="Verdana"/>
          <w:sz w:val="20"/>
          <w:lang w:val="el-GR" w:eastAsia="el-GR"/>
        </w:rPr>
        <w:lastRenderedPageBreak/>
        <w:t xml:space="preserve">Η Ευρωπαϊκή Ένωση αποτελεί την τρίτη </w:t>
      </w:r>
      <w:r w:rsidR="00D23365">
        <w:rPr>
          <w:rFonts w:ascii="Verdana" w:hAnsi="Verdana"/>
          <w:sz w:val="20"/>
          <w:lang w:val="el-GR" w:eastAsia="el-GR"/>
        </w:rPr>
        <w:t xml:space="preserve">κατά σειρά </w:t>
      </w:r>
      <w:r w:rsidRPr="00665EF1">
        <w:rPr>
          <w:rFonts w:ascii="Verdana" w:hAnsi="Verdana"/>
          <w:sz w:val="20"/>
          <w:lang w:val="el-GR" w:eastAsia="el-GR"/>
        </w:rPr>
        <w:t xml:space="preserve">πηγή χρηματοδότησης, </w:t>
      </w:r>
      <w:r w:rsidR="00D23365">
        <w:rPr>
          <w:rFonts w:ascii="Verdana" w:hAnsi="Verdana"/>
          <w:sz w:val="20"/>
          <w:lang w:val="el-GR" w:eastAsia="el-GR"/>
        </w:rPr>
        <w:t xml:space="preserve">χρηματοδότηση που καταγράφει </w:t>
      </w:r>
      <w:r w:rsidRPr="00665EF1">
        <w:rPr>
          <w:rFonts w:ascii="Verdana" w:hAnsi="Verdana"/>
          <w:sz w:val="20"/>
          <w:lang w:val="el-GR" w:eastAsia="el-GR"/>
        </w:rPr>
        <w:t>αυξητική πορεία κατά τα τελευταία έτη</w:t>
      </w:r>
      <w:r w:rsidR="00EF5AC3">
        <w:rPr>
          <w:rFonts w:ascii="Verdana" w:hAnsi="Verdana"/>
          <w:sz w:val="20"/>
          <w:lang w:val="el-GR" w:eastAsia="el-GR"/>
        </w:rPr>
        <w:t>,</w:t>
      </w:r>
      <w:r w:rsidRPr="00665EF1">
        <w:rPr>
          <w:rFonts w:ascii="Verdana" w:hAnsi="Verdana"/>
          <w:sz w:val="20"/>
          <w:lang w:val="el-GR" w:eastAsia="el-GR"/>
        </w:rPr>
        <w:t xml:space="preserve"> καθώς υλοποιείται ο Ορίζοντας 2020, το τρέχον Πρόγραμμα Πλαίσιο της ΕΕ για την Έρευνα και Καινοτομία. Το 2016 η ΕΕ χρηματοδότησε </w:t>
      </w:r>
      <w:r w:rsidR="00D23365">
        <w:rPr>
          <w:rFonts w:ascii="Verdana" w:hAnsi="Verdana"/>
          <w:sz w:val="20"/>
          <w:lang w:val="el-GR" w:eastAsia="el-GR"/>
        </w:rPr>
        <w:t xml:space="preserve">ερευνητικά έργα </w:t>
      </w:r>
      <w:r w:rsidR="00EF5AC3">
        <w:rPr>
          <w:rFonts w:ascii="Verdana" w:hAnsi="Verdana"/>
          <w:sz w:val="20"/>
          <w:lang w:val="el-GR" w:eastAsia="el-GR"/>
        </w:rPr>
        <w:t xml:space="preserve">σε όλους τους τομείς </w:t>
      </w:r>
      <w:r w:rsidRPr="00665EF1">
        <w:rPr>
          <w:rFonts w:ascii="Verdana" w:hAnsi="Verdana"/>
          <w:sz w:val="20"/>
          <w:lang w:val="el-GR" w:eastAsia="el-GR"/>
        </w:rPr>
        <w:t xml:space="preserve">με </w:t>
      </w:r>
      <w:r>
        <w:rPr>
          <w:rFonts w:ascii="Verdana" w:hAnsi="Verdana"/>
          <w:sz w:val="20"/>
          <w:lang w:val="el-GR" w:eastAsia="el-GR"/>
        </w:rPr>
        <w:t>208,5</w:t>
      </w:r>
      <w:r w:rsidRPr="00665EF1">
        <w:rPr>
          <w:rFonts w:ascii="Verdana" w:hAnsi="Verdana"/>
          <w:sz w:val="20"/>
          <w:lang w:val="el-GR" w:eastAsia="el-GR"/>
        </w:rPr>
        <w:t xml:space="preserve"> εκατ. ευρώ </w:t>
      </w:r>
      <w:r w:rsidRPr="00510845">
        <w:rPr>
          <w:rFonts w:ascii="Verdana" w:hAnsi="Verdana"/>
          <w:sz w:val="20"/>
          <w:lang w:val="el-GR" w:eastAsia="el-GR"/>
        </w:rPr>
        <w:t>(ποσοστό 12,0%</w:t>
      </w:r>
      <w:r w:rsidR="00D23365" w:rsidRPr="00510845">
        <w:rPr>
          <w:rFonts w:ascii="Verdana" w:hAnsi="Verdana"/>
          <w:sz w:val="20"/>
          <w:lang w:val="el-GR" w:eastAsia="el-GR"/>
        </w:rPr>
        <w:t xml:space="preserve"> του </w:t>
      </w:r>
      <w:r w:rsidR="00510845" w:rsidRPr="00510845">
        <w:rPr>
          <w:rFonts w:ascii="Verdana" w:hAnsi="Verdana"/>
          <w:sz w:val="20"/>
          <w:lang w:val="el-GR" w:eastAsia="el-GR"/>
        </w:rPr>
        <w:t>συνόλου)</w:t>
      </w:r>
      <w:r w:rsidRPr="00510845">
        <w:rPr>
          <w:rFonts w:ascii="Verdana" w:hAnsi="Verdana"/>
          <w:sz w:val="20"/>
          <w:lang w:val="el-GR" w:eastAsia="el-GR"/>
        </w:rPr>
        <w:t>,</w:t>
      </w:r>
      <w:r w:rsidRPr="00665EF1">
        <w:rPr>
          <w:rFonts w:ascii="Verdana" w:hAnsi="Verdana"/>
          <w:sz w:val="20"/>
          <w:lang w:val="el-GR" w:eastAsia="el-GR"/>
        </w:rPr>
        <w:t xml:space="preserve"> γεγονός που καταδεικνύει την υψηλή ανταγωνιστικότητα των ελληνικών φορέων. </w:t>
      </w:r>
    </w:p>
    <w:p w:rsidR="00665EF1" w:rsidRPr="00EF5AC3" w:rsidRDefault="00665EF1" w:rsidP="00665EF1">
      <w:pPr>
        <w:jc w:val="both"/>
        <w:rPr>
          <w:rFonts w:ascii="Verdana" w:hAnsi="Verdana"/>
          <w:sz w:val="20"/>
          <w:lang w:val="el-GR" w:eastAsia="el-GR"/>
        </w:rPr>
      </w:pPr>
    </w:p>
    <w:p w:rsidR="00204737" w:rsidRPr="00204737" w:rsidRDefault="00510845" w:rsidP="00204737">
      <w:pPr>
        <w:jc w:val="both"/>
        <w:rPr>
          <w:rFonts w:ascii="Verdana" w:hAnsi="Verdana"/>
          <w:sz w:val="20"/>
          <w:lang w:val="el-GR" w:eastAsia="el-GR"/>
        </w:rPr>
      </w:pPr>
      <w:r>
        <w:rPr>
          <w:rFonts w:ascii="Verdana" w:hAnsi="Verdana"/>
          <w:sz w:val="20"/>
          <w:lang w:val="el-GR" w:eastAsia="el-GR"/>
        </w:rPr>
        <w:t>Όσον αφορά το προσωπικό Ε&amp;Α, π</w:t>
      </w:r>
      <w:r w:rsidR="00665EF1">
        <w:rPr>
          <w:rFonts w:ascii="Verdana" w:hAnsi="Verdana"/>
          <w:sz w:val="20"/>
          <w:lang w:val="el-GR" w:eastAsia="el-GR"/>
        </w:rPr>
        <w:t xml:space="preserve">αρά την αύξηση των δαπανών Ε&amp;Α, </w:t>
      </w:r>
      <w:r>
        <w:rPr>
          <w:rFonts w:ascii="Verdana" w:hAnsi="Verdana"/>
          <w:sz w:val="20"/>
          <w:lang w:val="el-GR" w:eastAsia="el-GR"/>
        </w:rPr>
        <w:t>το 2016 σημειώνεται υστέρηση σε όρους απασχόλησης. Ο</w:t>
      </w:r>
      <w:r w:rsidR="00204737" w:rsidRPr="00204737">
        <w:rPr>
          <w:rFonts w:ascii="Verdana" w:hAnsi="Verdana"/>
          <w:sz w:val="20"/>
          <w:lang w:val="el-GR" w:eastAsia="el-GR"/>
        </w:rPr>
        <w:t xml:space="preserve"> αριθμός των Ισοδυνάμων Πλήρους Απασχόλησης (ΙΠΑ), που αποδίδουν "θέσεις" πλήρους απασχόλησης, </w:t>
      </w:r>
      <w:r w:rsidR="00204737">
        <w:rPr>
          <w:rFonts w:ascii="Verdana" w:hAnsi="Verdana"/>
          <w:sz w:val="20"/>
          <w:lang w:val="el-GR" w:eastAsia="el-GR"/>
        </w:rPr>
        <w:t xml:space="preserve">μειώθηκε </w:t>
      </w:r>
      <w:r w:rsidR="00204737" w:rsidRPr="00204737">
        <w:rPr>
          <w:rFonts w:ascii="Verdana" w:hAnsi="Verdana"/>
          <w:sz w:val="20"/>
          <w:lang w:val="el-GR" w:eastAsia="el-GR"/>
        </w:rPr>
        <w:t>σε σχέση με το 201</w:t>
      </w:r>
      <w:r w:rsidR="00204737">
        <w:rPr>
          <w:rFonts w:ascii="Verdana" w:hAnsi="Verdana"/>
          <w:sz w:val="20"/>
          <w:lang w:val="el-GR" w:eastAsia="el-GR"/>
        </w:rPr>
        <w:t>5</w:t>
      </w:r>
      <w:r>
        <w:rPr>
          <w:rFonts w:ascii="Verdana" w:hAnsi="Verdana"/>
          <w:sz w:val="20"/>
          <w:lang w:val="el-GR" w:eastAsia="el-GR"/>
        </w:rPr>
        <w:t xml:space="preserve">, </w:t>
      </w:r>
      <w:r w:rsidR="00204737" w:rsidRPr="00204737">
        <w:rPr>
          <w:rFonts w:ascii="Verdana" w:hAnsi="Verdana"/>
          <w:sz w:val="20"/>
          <w:lang w:val="el-GR" w:eastAsia="el-GR"/>
        </w:rPr>
        <w:t>τόσο για το συνολικό προσωπικό σε Ε&amp;Α όσο και για τους ερευνητές.</w:t>
      </w:r>
      <w:r w:rsidR="00204737">
        <w:rPr>
          <w:rFonts w:ascii="Verdana" w:hAnsi="Verdana"/>
          <w:sz w:val="20"/>
          <w:lang w:val="el-GR" w:eastAsia="el-GR"/>
        </w:rPr>
        <w:t xml:space="preserve"> </w:t>
      </w:r>
      <w:r w:rsidR="00D23365">
        <w:rPr>
          <w:rFonts w:ascii="Verdana" w:hAnsi="Verdana"/>
          <w:sz w:val="20"/>
          <w:lang w:val="el-GR" w:eastAsia="el-GR"/>
        </w:rPr>
        <w:t>Για το 2016, τ</w:t>
      </w:r>
      <w:r w:rsidR="00204737" w:rsidRPr="00204737">
        <w:rPr>
          <w:rFonts w:ascii="Verdana" w:hAnsi="Verdana"/>
          <w:sz w:val="20"/>
          <w:lang w:val="el-GR" w:eastAsia="el-GR"/>
        </w:rPr>
        <w:t xml:space="preserve">ο συνολικό προσωπικό σε Ε&amp;Α ανήλθε σε </w:t>
      </w:r>
      <w:r w:rsidR="00204737">
        <w:rPr>
          <w:rFonts w:ascii="Verdana" w:hAnsi="Verdana"/>
          <w:sz w:val="20"/>
          <w:lang w:val="el-GR" w:eastAsia="el-GR"/>
        </w:rPr>
        <w:t>41.789,8</w:t>
      </w:r>
      <w:r w:rsidR="00204737" w:rsidRPr="00204737">
        <w:rPr>
          <w:rFonts w:ascii="Verdana" w:hAnsi="Verdana"/>
          <w:sz w:val="20"/>
          <w:lang w:val="el-GR" w:eastAsia="el-GR"/>
        </w:rPr>
        <w:t xml:space="preserve"> ΙΠΑ και οι ερευνητές σε </w:t>
      </w:r>
      <w:r w:rsidR="00204737">
        <w:rPr>
          <w:rFonts w:ascii="Verdana" w:hAnsi="Verdana"/>
          <w:sz w:val="20"/>
          <w:lang w:val="el-GR" w:eastAsia="el-GR"/>
        </w:rPr>
        <w:t>29.403</w:t>
      </w:r>
      <w:r w:rsidR="00204737" w:rsidRPr="00204737">
        <w:rPr>
          <w:rFonts w:ascii="Verdana" w:hAnsi="Verdana"/>
          <w:sz w:val="20"/>
          <w:lang w:val="el-GR" w:eastAsia="el-GR"/>
        </w:rPr>
        <w:t xml:space="preserve"> ΙΠΑ. </w:t>
      </w:r>
    </w:p>
    <w:p w:rsidR="00204737" w:rsidRPr="00204737" w:rsidRDefault="00204737" w:rsidP="003304DB">
      <w:pPr>
        <w:jc w:val="both"/>
        <w:rPr>
          <w:rFonts w:ascii="Verdana" w:hAnsi="Verdana"/>
          <w:sz w:val="20"/>
          <w:lang w:val="el-GR" w:eastAsia="el-GR"/>
        </w:rPr>
      </w:pPr>
    </w:p>
    <w:p w:rsidR="003304DB" w:rsidRPr="003304DB" w:rsidRDefault="003304DB" w:rsidP="003304DB">
      <w:pPr>
        <w:jc w:val="both"/>
        <w:rPr>
          <w:rFonts w:ascii="Verdana" w:hAnsi="Verdana"/>
          <w:sz w:val="20"/>
          <w:lang w:val="el-GR" w:eastAsia="el-GR"/>
        </w:rPr>
      </w:pPr>
      <w:r w:rsidRPr="003304DB">
        <w:rPr>
          <w:rFonts w:ascii="Verdana" w:hAnsi="Verdana"/>
          <w:sz w:val="20"/>
          <w:lang w:val="el-GR" w:eastAsia="el-GR"/>
        </w:rPr>
        <w:t xml:space="preserve">Με βάση τα στοιχεία προσωπικού, ο δείκτης έντασης απασχόλησης σε Ε&amp;Α, εκφρασμένος ως ποσοστό των ΙΠΑ στο σύνολο της απασχόλησης της χώρας, διαμορφώθηκε στο 1,16%, ποσοστό παρόμοιο με εκείνο της Πορτογαλίας και της Ιταλίας, ωστόσο κάτω από τον ευρωπαϊκό μέσο όρο 1,34%. Ο αντίστοιχος δείκτης για τους ερευνητές ήταν 0,82% και η Ελλάδα βρίσκεται στην 14η θέση, προσεγγίζοντας τον ευρωπαϊκό μέσο όρο (0,86%). </w:t>
      </w:r>
    </w:p>
    <w:p w:rsidR="00204737" w:rsidRPr="00204737" w:rsidRDefault="00204737" w:rsidP="00204737">
      <w:pPr>
        <w:jc w:val="both"/>
        <w:rPr>
          <w:rFonts w:ascii="Verdana" w:hAnsi="Verdana"/>
          <w:sz w:val="20"/>
          <w:lang w:val="el-GR" w:eastAsia="el-GR"/>
        </w:rPr>
      </w:pPr>
    </w:p>
    <w:p w:rsidR="00490B85" w:rsidRPr="00A35E84" w:rsidRDefault="00052AF0" w:rsidP="0077580B">
      <w:pPr>
        <w:jc w:val="both"/>
        <w:rPr>
          <w:rFonts w:ascii="Verdana" w:hAnsi="Verdana"/>
          <w:sz w:val="20"/>
          <w:lang w:val="el-GR" w:eastAsia="el-GR"/>
        </w:rPr>
      </w:pPr>
      <w:r w:rsidRPr="00A35E84">
        <w:rPr>
          <w:rFonts w:ascii="Verdana" w:hAnsi="Verdana"/>
          <w:sz w:val="20"/>
          <w:lang w:val="el-GR" w:eastAsia="el-GR"/>
        </w:rPr>
        <w:t>Τ</w:t>
      </w:r>
      <w:r w:rsidR="00490B85" w:rsidRPr="00A35E84">
        <w:rPr>
          <w:rFonts w:ascii="Verdana" w:hAnsi="Verdana"/>
          <w:sz w:val="20"/>
          <w:lang w:val="el-GR" w:eastAsia="el-GR"/>
        </w:rPr>
        <w:t xml:space="preserve">α στατιστικά στοιχεία και οι δείκτες για την Έρευνα, Ανάπτυξη και Καινοτομία στην Ελλάδα, τα οποία παράγονται και εκδίδονται από το ΕΚΤ, αποστέλλονται σε τακτική βάση στη </w:t>
      </w:r>
      <w:proofErr w:type="spellStart"/>
      <w:r w:rsidR="00490B85" w:rsidRPr="00A35E84">
        <w:rPr>
          <w:rFonts w:ascii="Verdana" w:hAnsi="Verdana"/>
          <w:sz w:val="20"/>
          <w:lang w:val="el-GR" w:eastAsia="el-GR"/>
        </w:rPr>
        <w:t>Eurostat</w:t>
      </w:r>
      <w:proofErr w:type="spellEnd"/>
      <w:r w:rsidR="00490B85" w:rsidRPr="00A35E84">
        <w:rPr>
          <w:rFonts w:ascii="Verdana" w:hAnsi="Verdana"/>
          <w:sz w:val="20"/>
          <w:lang w:val="el-GR" w:eastAsia="el-GR"/>
        </w:rPr>
        <w:t xml:space="preserve"> και τον ΟΟΣΑ. Η ανάλυση των στοιχείων και η εξαγωγή των σχετικών δεικτών δημοσιεύονται σε έντυπες και ηλεκτρονικές εκδόσεις του ΕΚΤ που διατίθενται στον δικτυακό τόπο </w:t>
      </w:r>
      <w:hyperlink r:id="rId11" w:history="1">
        <w:r w:rsidR="003F3073" w:rsidRPr="00A35E84">
          <w:rPr>
            <w:rStyle w:val="-"/>
            <w:rFonts w:ascii="Verdana" w:hAnsi="Verdana"/>
            <w:sz w:val="20"/>
            <w:lang w:val="el-GR" w:eastAsia="el-GR"/>
          </w:rPr>
          <w:t>http://metrics.ekt.gr</w:t>
        </w:r>
      </w:hyperlink>
      <w:r w:rsidR="00490B85" w:rsidRPr="00A35E84">
        <w:rPr>
          <w:rFonts w:ascii="Verdana" w:hAnsi="Verdana"/>
          <w:sz w:val="20"/>
          <w:lang w:val="el-GR" w:eastAsia="el-GR"/>
        </w:rPr>
        <w:t xml:space="preserve">. </w:t>
      </w:r>
    </w:p>
    <w:p w:rsidR="00490B85" w:rsidRPr="00A35E84" w:rsidRDefault="00490B85" w:rsidP="00490B85">
      <w:pPr>
        <w:jc w:val="both"/>
        <w:rPr>
          <w:rFonts w:ascii="Verdana" w:hAnsi="Verdana"/>
          <w:sz w:val="16"/>
          <w:lang w:val="el-GR" w:eastAsia="el-GR"/>
        </w:rPr>
      </w:pPr>
    </w:p>
    <w:p w:rsidR="00490B85" w:rsidRPr="00A35E84" w:rsidRDefault="00490B85" w:rsidP="00490B85">
      <w:pPr>
        <w:jc w:val="both"/>
        <w:rPr>
          <w:rFonts w:ascii="Verdana" w:eastAsia="Batang" w:hAnsi="Verdana"/>
          <w:sz w:val="16"/>
          <w:lang w:val="el-GR" w:eastAsia="el-GR"/>
        </w:rPr>
      </w:pPr>
    </w:p>
    <w:p w:rsidR="00DD5554" w:rsidRPr="00A35E84" w:rsidRDefault="00DD5554" w:rsidP="00490B85">
      <w:pPr>
        <w:jc w:val="both"/>
        <w:rPr>
          <w:rFonts w:ascii="Verdana" w:eastAsia="Batang" w:hAnsi="Verdana"/>
          <w:b/>
          <w:sz w:val="20"/>
          <w:lang w:val="el-GR" w:eastAsia="el-GR"/>
        </w:rPr>
      </w:pPr>
      <w:r w:rsidRPr="00A35E84">
        <w:rPr>
          <w:rFonts w:ascii="Verdana" w:eastAsia="Batang" w:hAnsi="Verdana"/>
          <w:b/>
          <w:sz w:val="20"/>
          <w:lang w:val="el-GR" w:eastAsia="el-GR"/>
        </w:rPr>
        <w:t xml:space="preserve">Διευθύνσεις στο Διαδίκτυο </w:t>
      </w:r>
    </w:p>
    <w:p w:rsidR="00DD5554" w:rsidRPr="00A35E84" w:rsidRDefault="00DD5554" w:rsidP="00490B85">
      <w:pPr>
        <w:jc w:val="both"/>
        <w:rPr>
          <w:rFonts w:ascii="Verdana" w:eastAsia="Batang" w:hAnsi="Verdana"/>
          <w:b/>
          <w:sz w:val="20"/>
          <w:lang w:val="el-GR" w:eastAsia="el-GR"/>
        </w:rPr>
      </w:pPr>
    </w:p>
    <w:p w:rsidR="00B065C0" w:rsidRPr="00B065C0" w:rsidRDefault="00DD5554" w:rsidP="00490B85">
      <w:pPr>
        <w:jc w:val="both"/>
        <w:rPr>
          <w:rFonts w:ascii="Verdana" w:eastAsia="Batang" w:hAnsi="Verdana"/>
          <w:sz w:val="20"/>
          <w:lang w:val="el-GR" w:eastAsia="el-GR"/>
        </w:rPr>
      </w:pPr>
      <w:r w:rsidRPr="00A35E84">
        <w:rPr>
          <w:rFonts w:ascii="Verdana" w:eastAsia="Batang" w:hAnsi="Verdana"/>
          <w:sz w:val="20"/>
          <w:lang w:val="el-GR" w:eastAsia="el-GR"/>
        </w:rPr>
        <w:t>"Βασικοί Δείκτες Έρευνας και Ανάπτυξης γ</w:t>
      </w:r>
      <w:r w:rsidR="00913DE9">
        <w:rPr>
          <w:rFonts w:ascii="Verdana" w:eastAsia="Batang" w:hAnsi="Verdana"/>
          <w:sz w:val="20"/>
          <w:lang w:val="el-GR" w:eastAsia="el-GR"/>
        </w:rPr>
        <w:t>ια δαπάνες και προσωπικό το 2016</w:t>
      </w:r>
      <w:r w:rsidRPr="00A35E84">
        <w:rPr>
          <w:rFonts w:ascii="Verdana" w:eastAsia="Batang" w:hAnsi="Verdana"/>
          <w:sz w:val="20"/>
          <w:lang w:val="el-GR" w:eastAsia="el-GR"/>
        </w:rPr>
        <w:t xml:space="preserve"> στην </w:t>
      </w:r>
      <w:r w:rsidRPr="00B065C0">
        <w:rPr>
          <w:rFonts w:ascii="Verdana" w:eastAsia="Batang" w:hAnsi="Verdana"/>
          <w:sz w:val="20"/>
          <w:lang w:val="el-GR" w:eastAsia="el-GR"/>
        </w:rPr>
        <w:t>Ελλάδα"</w:t>
      </w:r>
    </w:p>
    <w:p w:rsidR="00B065C0" w:rsidRPr="0039624E" w:rsidRDefault="0039624E" w:rsidP="00490B85">
      <w:pPr>
        <w:jc w:val="both"/>
        <w:rPr>
          <w:rFonts w:ascii="Verdana" w:hAnsi="Verdana"/>
          <w:sz w:val="20"/>
          <w:lang w:val="el-GR"/>
        </w:rPr>
      </w:pPr>
      <w:hyperlink r:id="rId12" w:history="1">
        <w:r w:rsidR="00B065C0" w:rsidRPr="00B065C0">
          <w:rPr>
            <w:rStyle w:val="-"/>
            <w:rFonts w:ascii="Verdana" w:hAnsi="Verdana"/>
            <w:sz w:val="20"/>
          </w:rPr>
          <w:t>http</w:t>
        </w:r>
        <w:r w:rsidR="00B065C0" w:rsidRPr="0039624E">
          <w:rPr>
            <w:rStyle w:val="-"/>
            <w:rFonts w:ascii="Verdana" w:hAnsi="Verdana"/>
            <w:sz w:val="20"/>
            <w:lang w:val="el-GR"/>
          </w:rPr>
          <w:t>://</w:t>
        </w:r>
        <w:r w:rsidR="00B065C0" w:rsidRPr="00B065C0">
          <w:rPr>
            <w:rStyle w:val="-"/>
            <w:rFonts w:ascii="Verdana" w:hAnsi="Verdana"/>
            <w:sz w:val="20"/>
          </w:rPr>
          <w:t>metrics</w:t>
        </w:r>
        <w:r w:rsidR="00B065C0" w:rsidRPr="0039624E">
          <w:rPr>
            <w:rStyle w:val="-"/>
            <w:rFonts w:ascii="Verdana" w:hAnsi="Verdana"/>
            <w:sz w:val="20"/>
            <w:lang w:val="el-GR"/>
          </w:rPr>
          <w:t>.</w:t>
        </w:r>
        <w:r w:rsidR="00B065C0" w:rsidRPr="00B065C0">
          <w:rPr>
            <w:rStyle w:val="-"/>
            <w:rFonts w:ascii="Verdana" w:hAnsi="Verdana"/>
            <w:sz w:val="20"/>
          </w:rPr>
          <w:t>ekt</w:t>
        </w:r>
        <w:r w:rsidR="00B065C0" w:rsidRPr="0039624E">
          <w:rPr>
            <w:rStyle w:val="-"/>
            <w:rFonts w:ascii="Verdana" w:hAnsi="Verdana"/>
            <w:sz w:val="20"/>
            <w:lang w:val="el-GR"/>
          </w:rPr>
          <w:t>.</w:t>
        </w:r>
        <w:r w:rsidR="00B065C0" w:rsidRPr="00B065C0">
          <w:rPr>
            <w:rStyle w:val="-"/>
            <w:rFonts w:ascii="Verdana" w:hAnsi="Verdana"/>
            <w:sz w:val="20"/>
          </w:rPr>
          <w:t>gr</w:t>
        </w:r>
        <w:r w:rsidR="00B065C0" w:rsidRPr="0039624E">
          <w:rPr>
            <w:rStyle w:val="-"/>
            <w:rFonts w:ascii="Verdana" w:hAnsi="Verdana"/>
            <w:sz w:val="20"/>
            <w:lang w:val="el-GR"/>
          </w:rPr>
          <w:t>/</w:t>
        </w:r>
        <w:r w:rsidR="00B065C0" w:rsidRPr="00B065C0">
          <w:rPr>
            <w:rStyle w:val="-"/>
            <w:rFonts w:ascii="Verdana" w:hAnsi="Verdana"/>
            <w:sz w:val="20"/>
          </w:rPr>
          <w:t>el</w:t>
        </w:r>
        <w:r w:rsidR="00B065C0" w:rsidRPr="0039624E">
          <w:rPr>
            <w:rStyle w:val="-"/>
            <w:rFonts w:ascii="Verdana" w:hAnsi="Verdana"/>
            <w:sz w:val="20"/>
            <w:lang w:val="el-GR"/>
          </w:rPr>
          <w:t>/</w:t>
        </w:r>
        <w:r w:rsidR="00B065C0" w:rsidRPr="00B065C0">
          <w:rPr>
            <w:rStyle w:val="-"/>
            <w:rFonts w:ascii="Verdana" w:hAnsi="Verdana"/>
            <w:sz w:val="20"/>
          </w:rPr>
          <w:t>node</w:t>
        </w:r>
        <w:r w:rsidR="00B065C0" w:rsidRPr="0039624E">
          <w:rPr>
            <w:rStyle w:val="-"/>
            <w:rFonts w:ascii="Verdana" w:hAnsi="Verdana"/>
            <w:sz w:val="20"/>
            <w:lang w:val="el-GR"/>
          </w:rPr>
          <w:t>/352</w:t>
        </w:r>
      </w:hyperlink>
    </w:p>
    <w:p w:rsidR="00C7187A" w:rsidRPr="0039624E" w:rsidRDefault="00C7187A" w:rsidP="00490B85">
      <w:pPr>
        <w:jc w:val="both"/>
        <w:rPr>
          <w:rFonts w:ascii="Verdana" w:hAnsi="Verdana"/>
          <w:sz w:val="20"/>
          <w:lang w:val="el-GR" w:eastAsia="el-GR"/>
        </w:rPr>
      </w:pPr>
    </w:p>
    <w:p w:rsidR="00187101" w:rsidRPr="00B065C0" w:rsidRDefault="00187101" w:rsidP="00490B85">
      <w:pPr>
        <w:jc w:val="both"/>
        <w:rPr>
          <w:rFonts w:ascii="Verdana" w:hAnsi="Verdana"/>
          <w:sz w:val="20"/>
          <w:lang w:val="el-GR" w:eastAsia="el-GR"/>
        </w:rPr>
      </w:pPr>
      <w:r w:rsidRPr="00B065C0">
        <w:rPr>
          <w:rFonts w:ascii="Verdana" w:hAnsi="Verdana"/>
          <w:sz w:val="20"/>
          <w:lang w:val="el-GR" w:eastAsia="el-GR"/>
        </w:rPr>
        <w:t>ΕΚΤ – Δείκτες Έρευνας, Ανάπτυξης, Καινοτομίας</w:t>
      </w:r>
    </w:p>
    <w:p w:rsidR="00187101" w:rsidRPr="00187101" w:rsidRDefault="0039624E" w:rsidP="00490B85">
      <w:pPr>
        <w:jc w:val="both"/>
        <w:rPr>
          <w:rFonts w:ascii="Verdana" w:eastAsia="Batang" w:hAnsi="Verdana"/>
          <w:b/>
          <w:sz w:val="20"/>
          <w:lang w:val="el-GR" w:eastAsia="el-GR"/>
        </w:rPr>
      </w:pPr>
      <w:hyperlink r:id="rId13" w:history="1">
        <w:r w:rsidR="00187101" w:rsidRPr="00DE1383">
          <w:rPr>
            <w:rStyle w:val="-"/>
            <w:rFonts w:ascii="Verdana" w:hAnsi="Verdana"/>
            <w:sz w:val="20"/>
            <w:lang w:val="en-US" w:eastAsia="el-GR"/>
          </w:rPr>
          <w:t>http</w:t>
        </w:r>
        <w:r w:rsidR="00187101" w:rsidRPr="00187101">
          <w:rPr>
            <w:rStyle w:val="-"/>
            <w:rFonts w:ascii="Verdana" w:hAnsi="Verdana"/>
            <w:sz w:val="20"/>
            <w:lang w:val="el-GR" w:eastAsia="el-GR"/>
          </w:rPr>
          <w:t>://</w:t>
        </w:r>
        <w:r w:rsidR="00187101" w:rsidRPr="00DE1383">
          <w:rPr>
            <w:rStyle w:val="-"/>
            <w:rFonts w:ascii="Verdana" w:hAnsi="Verdana"/>
            <w:sz w:val="20"/>
            <w:lang w:val="en-US" w:eastAsia="el-GR"/>
          </w:rPr>
          <w:t>metrics</w:t>
        </w:r>
        <w:r w:rsidR="00187101" w:rsidRPr="00187101">
          <w:rPr>
            <w:rStyle w:val="-"/>
            <w:rFonts w:ascii="Verdana" w:hAnsi="Verdana"/>
            <w:sz w:val="20"/>
            <w:lang w:val="el-GR" w:eastAsia="el-GR"/>
          </w:rPr>
          <w:t>.</w:t>
        </w:r>
        <w:proofErr w:type="spellStart"/>
        <w:r w:rsidR="00187101" w:rsidRPr="00DE1383">
          <w:rPr>
            <w:rStyle w:val="-"/>
            <w:rFonts w:ascii="Verdana" w:hAnsi="Verdana"/>
            <w:sz w:val="20"/>
            <w:lang w:val="en-US" w:eastAsia="el-GR"/>
          </w:rPr>
          <w:t>ekt</w:t>
        </w:r>
        <w:proofErr w:type="spellEnd"/>
        <w:r w:rsidR="00187101" w:rsidRPr="00187101">
          <w:rPr>
            <w:rStyle w:val="-"/>
            <w:rFonts w:ascii="Verdana" w:hAnsi="Verdana"/>
            <w:sz w:val="20"/>
            <w:lang w:val="el-GR" w:eastAsia="el-GR"/>
          </w:rPr>
          <w:t>.</w:t>
        </w:r>
        <w:r w:rsidR="00187101" w:rsidRPr="00DE1383">
          <w:rPr>
            <w:rStyle w:val="-"/>
            <w:rFonts w:ascii="Verdana" w:hAnsi="Verdana"/>
            <w:sz w:val="20"/>
            <w:lang w:val="en-US" w:eastAsia="el-GR"/>
          </w:rPr>
          <w:t>gr</w:t>
        </w:r>
      </w:hyperlink>
      <w:r w:rsidR="00187101" w:rsidRPr="00187101">
        <w:rPr>
          <w:rFonts w:ascii="Verdana" w:hAnsi="Verdana"/>
          <w:sz w:val="20"/>
          <w:lang w:val="el-GR" w:eastAsia="el-GR"/>
        </w:rPr>
        <w:t xml:space="preserve"> </w:t>
      </w:r>
    </w:p>
    <w:p w:rsidR="00DD5554" w:rsidRDefault="00DD5554" w:rsidP="00490B85">
      <w:pPr>
        <w:jc w:val="both"/>
        <w:rPr>
          <w:rFonts w:ascii="Verdana" w:eastAsia="Batang" w:hAnsi="Verdana"/>
          <w:b/>
          <w:sz w:val="20"/>
          <w:lang w:val="el-GR" w:eastAsia="el-GR"/>
        </w:rPr>
      </w:pPr>
    </w:p>
    <w:p w:rsidR="00490B85" w:rsidRPr="000E41C0" w:rsidRDefault="00490B85" w:rsidP="00490B85">
      <w:pPr>
        <w:jc w:val="both"/>
        <w:rPr>
          <w:rFonts w:ascii="Verdana" w:eastAsia="Batang" w:hAnsi="Verdana"/>
          <w:b/>
          <w:sz w:val="20"/>
          <w:lang w:val="el-GR" w:eastAsia="el-GR"/>
        </w:rPr>
      </w:pPr>
      <w:r w:rsidRPr="000E41C0">
        <w:rPr>
          <w:rFonts w:ascii="Verdana" w:eastAsia="Batang" w:hAnsi="Verdana"/>
          <w:b/>
          <w:sz w:val="20"/>
          <w:lang w:val="el-GR" w:eastAsia="el-GR"/>
        </w:rPr>
        <w:t>Επικοινωνία για δημοσιογράφους</w:t>
      </w:r>
    </w:p>
    <w:p w:rsidR="00490B85" w:rsidRPr="000E41C0" w:rsidRDefault="00490B85" w:rsidP="00490B85">
      <w:pPr>
        <w:jc w:val="both"/>
        <w:rPr>
          <w:rFonts w:ascii="Verdana" w:eastAsia="Batang" w:hAnsi="Verdana"/>
          <w:sz w:val="20"/>
          <w:lang w:val="el-GR" w:eastAsia="el-GR"/>
        </w:rPr>
      </w:pPr>
      <w:r w:rsidRPr="000E41C0">
        <w:rPr>
          <w:rFonts w:ascii="Verdana" w:eastAsia="Batang" w:hAnsi="Verdana"/>
          <w:sz w:val="20"/>
          <w:lang w:val="el-GR" w:eastAsia="el-GR"/>
        </w:rPr>
        <w:t xml:space="preserve">Εθνικό Κέντρο Τεκμηρίωσης </w:t>
      </w:r>
    </w:p>
    <w:p w:rsidR="00490B85" w:rsidRPr="000E41C0" w:rsidRDefault="00490B85" w:rsidP="00490B85">
      <w:pPr>
        <w:jc w:val="both"/>
        <w:rPr>
          <w:rFonts w:ascii="Verdana" w:eastAsia="Batang" w:hAnsi="Verdana"/>
          <w:sz w:val="20"/>
          <w:lang w:val="el-GR" w:eastAsia="el-GR"/>
        </w:rPr>
      </w:pPr>
      <w:r w:rsidRPr="000E41C0">
        <w:rPr>
          <w:rFonts w:ascii="Verdana" w:eastAsia="Batang" w:hAnsi="Verdana"/>
          <w:sz w:val="20"/>
          <w:lang w:val="el-GR" w:eastAsia="el-GR"/>
        </w:rPr>
        <w:t xml:space="preserve">Μαργαρίτης Προέδρου, </w:t>
      </w:r>
      <w:proofErr w:type="spellStart"/>
      <w:r w:rsidRPr="000E41C0">
        <w:rPr>
          <w:rFonts w:ascii="Verdana" w:eastAsia="Batang" w:hAnsi="Verdana"/>
          <w:sz w:val="20"/>
          <w:lang w:val="el-GR" w:eastAsia="el-GR"/>
        </w:rPr>
        <w:t>τηλ</w:t>
      </w:r>
      <w:proofErr w:type="spellEnd"/>
      <w:r w:rsidRPr="000E41C0">
        <w:rPr>
          <w:rFonts w:ascii="Verdana" w:eastAsia="Batang" w:hAnsi="Verdana"/>
          <w:sz w:val="20"/>
          <w:lang w:val="el-GR" w:eastAsia="el-GR"/>
        </w:rPr>
        <w:t xml:space="preserve">.: 210 7273966, </w:t>
      </w:r>
      <w:r w:rsidRPr="000E41C0">
        <w:rPr>
          <w:rFonts w:ascii="Verdana" w:eastAsia="Batang" w:hAnsi="Verdana"/>
          <w:sz w:val="20"/>
          <w:lang w:val="en-US" w:eastAsia="el-GR"/>
        </w:rPr>
        <w:t>e</w:t>
      </w:r>
      <w:r w:rsidRPr="000E41C0">
        <w:rPr>
          <w:rFonts w:ascii="Verdana" w:eastAsia="Batang" w:hAnsi="Verdana"/>
          <w:sz w:val="20"/>
          <w:lang w:val="el-GR" w:eastAsia="el-GR"/>
        </w:rPr>
        <w:t>-</w:t>
      </w:r>
      <w:r w:rsidRPr="000E41C0">
        <w:rPr>
          <w:rFonts w:ascii="Verdana" w:eastAsia="Batang" w:hAnsi="Verdana"/>
          <w:sz w:val="20"/>
          <w:lang w:val="en-US" w:eastAsia="el-GR"/>
        </w:rPr>
        <w:t>mail</w:t>
      </w:r>
      <w:r w:rsidRPr="000E41C0">
        <w:rPr>
          <w:rFonts w:ascii="Verdana" w:eastAsia="Batang" w:hAnsi="Verdana"/>
          <w:sz w:val="20"/>
          <w:lang w:val="el-GR" w:eastAsia="el-GR"/>
        </w:rPr>
        <w:t xml:space="preserve">: </w:t>
      </w:r>
      <w:r w:rsidRPr="000E41C0">
        <w:rPr>
          <w:rFonts w:ascii="Verdana" w:eastAsia="Batang" w:hAnsi="Verdana"/>
          <w:sz w:val="20"/>
          <w:lang w:val="en-US" w:eastAsia="el-GR"/>
        </w:rPr>
        <w:t>mproed</w:t>
      </w:r>
      <w:r w:rsidRPr="000E41C0">
        <w:rPr>
          <w:rFonts w:ascii="Verdana" w:eastAsia="Batang" w:hAnsi="Verdana"/>
          <w:sz w:val="20"/>
          <w:lang w:val="el-GR" w:eastAsia="el-GR"/>
        </w:rPr>
        <w:t>@</w:t>
      </w:r>
      <w:proofErr w:type="spellStart"/>
      <w:r w:rsidRPr="000E41C0">
        <w:rPr>
          <w:rFonts w:ascii="Verdana" w:eastAsia="Batang" w:hAnsi="Verdana"/>
          <w:sz w:val="20"/>
          <w:lang w:val="en-US" w:eastAsia="el-GR"/>
        </w:rPr>
        <w:t>ekt</w:t>
      </w:r>
      <w:proofErr w:type="spellEnd"/>
      <w:r w:rsidRPr="000E41C0">
        <w:rPr>
          <w:rFonts w:ascii="Verdana" w:eastAsia="Batang" w:hAnsi="Verdana"/>
          <w:sz w:val="20"/>
          <w:lang w:val="el-GR" w:eastAsia="el-GR"/>
        </w:rPr>
        <w:t>.</w:t>
      </w:r>
      <w:r w:rsidRPr="000E41C0">
        <w:rPr>
          <w:rFonts w:ascii="Verdana" w:eastAsia="Batang" w:hAnsi="Verdana"/>
          <w:sz w:val="20"/>
          <w:lang w:val="en-US" w:eastAsia="el-GR"/>
        </w:rPr>
        <w:t>gr</w:t>
      </w:r>
      <w:r w:rsidRPr="000E41C0">
        <w:rPr>
          <w:rFonts w:ascii="Verdana" w:eastAsia="Batang" w:hAnsi="Verdana"/>
          <w:sz w:val="20"/>
          <w:lang w:val="el-GR" w:eastAsia="el-GR"/>
        </w:rPr>
        <w:t xml:space="preserve"> </w:t>
      </w:r>
    </w:p>
    <w:p w:rsidR="00490B85" w:rsidRPr="00313CD0" w:rsidRDefault="0039624E" w:rsidP="00490B85">
      <w:pPr>
        <w:jc w:val="both"/>
        <w:rPr>
          <w:rFonts w:ascii="Verdana" w:eastAsia="Batang" w:hAnsi="Verdana"/>
          <w:sz w:val="22"/>
          <w:lang w:val="el-GR" w:eastAsia="el-GR"/>
        </w:rPr>
      </w:pPr>
      <w:hyperlink r:id="rId14" w:history="1">
        <w:r w:rsidR="00490B85" w:rsidRPr="00313CD0">
          <w:rPr>
            <w:rFonts w:ascii="Verdana" w:eastAsia="Batang" w:hAnsi="Verdana"/>
            <w:color w:val="0000FF"/>
            <w:sz w:val="22"/>
            <w:u w:val="single"/>
            <w:lang w:val="en-US" w:eastAsia="el-GR"/>
          </w:rPr>
          <w:t>http</w:t>
        </w:r>
        <w:r w:rsidR="00490B85" w:rsidRPr="00313CD0">
          <w:rPr>
            <w:rFonts w:ascii="Verdana" w:eastAsia="Batang" w:hAnsi="Verdana"/>
            <w:color w:val="0000FF"/>
            <w:sz w:val="22"/>
            <w:u w:val="single"/>
            <w:lang w:val="el-GR" w:eastAsia="el-GR"/>
          </w:rPr>
          <w:t>://</w:t>
        </w:r>
        <w:r w:rsidR="00490B85" w:rsidRPr="00313CD0">
          <w:rPr>
            <w:rFonts w:ascii="Verdana" w:eastAsia="Batang" w:hAnsi="Verdana"/>
            <w:color w:val="0000FF"/>
            <w:sz w:val="22"/>
            <w:u w:val="single"/>
            <w:lang w:val="en-US" w:eastAsia="el-GR"/>
          </w:rPr>
          <w:t>www</w:t>
        </w:r>
        <w:r w:rsidR="00490B85" w:rsidRPr="00313CD0">
          <w:rPr>
            <w:rFonts w:ascii="Verdana" w:eastAsia="Batang" w:hAnsi="Verdana"/>
            <w:color w:val="0000FF"/>
            <w:sz w:val="22"/>
            <w:u w:val="single"/>
            <w:lang w:val="el-GR" w:eastAsia="el-GR"/>
          </w:rPr>
          <w:t>.</w:t>
        </w:r>
        <w:proofErr w:type="spellStart"/>
        <w:r w:rsidR="00490B85" w:rsidRPr="00313CD0">
          <w:rPr>
            <w:rFonts w:ascii="Verdana" w:eastAsia="Batang" w:hAnsi="Verdana"/>
            <w:color w:val="0000FF"/>
            <w:sz w:val="22"/>
            <w:u w:val="single"/>
            <w:lang w:val="en-US" w:eastAsia="el-GR"/>
          </w:rPr>
          <w:t>ekt</w:t>
        </w:r>
        <w:proofErr w:type="spellEnd"/>
        <w:r w:rsidR="00490B85" w:rsidRPr="00313CD0">
          <w:rPr>
            <w:rFonts w:ascii="Verdana" w:eastAsia="Batang" w:hAnsi="Verdana"/>
            <w:color w:val="0000FF"/>
            <w:sz w:val="22"/>
            <w:u w:val="single"/>
            <w:lang w:val="el-GR" w:eastAsia="el-GR"/>
          </w:rPr>
          <w:t>.</w:t>
        </w:r>
        <w:r w:rsidR="00490B85" w:rsidRPr="00313CD0">
          <w:rPr>
            <w:rFonts w:ascii="Verdana" w:eastAsia="Batang" w:hAnsi="Verdana"/>
            <w:color w:val="0000FF"/>
            <w:sz w:val="22"/>
            <w:u w:val="single"/>
            <w:lang w:val="en-US" w:eastAsia="el-GR"/>
          </w:rPr>
          <w:t>gr</w:t>
        </w:r>
      </w:hyperlink>
      <w:r w:rsidR="00490B85" w:rsidRPr="00313CD0">
        <w:rPr>
          <w:rFonts w:ascii="Verdana" w:eastAsia="Batang" w:hAnsi="Verdana"/>
          <w:sz w:val="22"/>
          <w:lang w:val="el-GR" w:eastAsia="el-GR"/>
        </w:rPr>
        <w:t xml:space="preserve">  </w:t>
      </w:r>
    </w:p>
    <w:p w:rsidR="00490B85" w:rsidRPr="000E41C0" w:rsidRDefault="00490B85" w:rsidP="00490B85">
      <w:pPr>
        <w:jc w:val="both"/>
        <w:rPr>
          <w:rFonts w:ascii="Verdana" w:eastAsia="Batang" w:hAnsi="Verdana"/>
          <w:b/>
          <w:i/>
          <w:sz w:val="18"/>
          <w:szCs w:val="18"/>
          <w:lang w:val="el-GR" w:eastAsia="el-GR"/>
        </w:rPr>
      </w:pPr>
    </w:p>
    <w:p w:rsidR="00490B85" w:rsidRPr="000E41C0" w:rsidRDefault="00490B85" w:rsidP="00490B85">
      <w:pPr>
        <w:jc w:val="both"/>
        <w:rPr>
          <w:rFonts w:ascii="Verdana" w:eastAsia="Batang" w:hAnsi="Verdana"/>
          <w:b/>
          <w:i/>
          <w:sz w:val="18"/>
          <w:szCs w:val="18"/>
          <w:lang w:val="el-GR" w:eastAsia="el-GR"/>
        </w:rPr>
      </w:pPr>
    </w:p>
    <w:p w:rsidR="00490B85" w:rsidRPr="000E41C0" w:rsidRDefault="00490B85" w:rsidP="00490B85">
      <w:pPr>
        <w:jc w:val="both"/>
        <w:rPr>
          <w:rFonts w:ascii="Verdana" w:eastAsia="Batang" w:hAnsi="Verdana"/>
          <w:b/>
          <w:i/>
          <w:sz w:val="18"/>
          <w:szCs w:val="18"/>
          <w:lang w:val="el-GR" w:eastAsia="el-GR"/>
        </w:rPr>
      </w:pPr>
      <w:r w:rsidRPr="000E41C0">
        <w:rPr>
          <w:rFonts w:ascii="Verdana" w:eastAsia="Batang" w:hAnsi="Verdana"/>
          <w:b/>
          <w:i/>
          <w:sz w:val="18"/>
          <w:szCs w:val="18"/>
          <w:lang w:val="el-GR" w:eastAsia="el-GR"/>
        </w:rPr>
        <w:t>Σχετικά με το Εθνικό Κέντρο Τεκμηρίωσης</w:t>
      </w:r>
    </w:p>
    <w:p w:rsidR="008779CC" w:rsidRPr="000E41C0" w:rsidRDefault="008779CC" w:rsidP="008779CC">
      <w:pPr>
        <w:jc w:val="both"/>
        <w:rPr>
          <w:rFonts w:ascii="Verdana" w:eastAsia="Batang" w:hAnsi="Verdana"/>
          <w:i/>
          <w:sz w:val="18"/>
          <w:szCs w:val="18"/>
          <w:lang w:val="el-GR" w:eastAsia="el-GR"/>
        </w:rPr>
      </w:pPr>
      <w:r>
        <w:rPr>
          <w:rFonts w:ascii="Verdana" w:eastAsia="Batang" w:hAnsi="Verdana"/>
          <w:i/>
          <w:sz w:val="18"/>
          <w:szCs w:val="18"/>
          <w:lang w:val="en-US" w:eastAsia="el-GR"/>
        </w:rPr>
        <w:t>T</w:t>
      </w:r>
      <w:r w:rsidRPr="008779CC">
        <w:rPr>
          <w:rFonts w:ascii="Verdana" w:eastAsia="Batang" w:hAnsi="Verdana"/>
          <w:i/>
          <w:sz w:val="18"/>
          <w:szCs w:val="18"/>
          <w:lang w:val="el-GR" w:eastAsia="el-GR"/>
        </w:rPr>
        <w:t>ο Εθνικό Κέντρο Τεκμηρίωσης (</w:t>
      </w:r>
      <w:hyperlink r:id="rId15" w:history="1">
        <w:r w:rsidRPr="003F5043">
          <w:rPr>
            <w:rStyle w:val="-"/>
            <w:rFonts w:ascii="Verdana" w:eastAsia="Batang" w:hAnsi="Verdana"/>
            <w:i/>
            <w:sz w:val="18"/>
            <w:szCs w:val="18"/>
            <w:lang w:val="en-US" w:eastAsia="el-GR"/>
          </w:rPr>
          <w:t>www</w:t>
        </w:r>
        <w:r w:rsidRPr="003F5043">
          <w:rPr>
            <w:rStyle w:val="-"/>
            <w:rFonts w:ascii="Verdana" w:eastAsia="Batang" w:hAnsi="Verdana"/>
            <w:i/>
            <w:sz w:val="18"/>
            <w:szCs w:val="18"/>
            <w:lang w:val="el-GR" w:eastAsia="el-GR"/>
          </w:rPr>
          <w:t>.</w:t>
        </w:r>
        <w:proofErr w:type="spellStart"/>
        <w:r w:rsidRPr="003F5043">
          <w:rPr>
            <w:rStyle w:val="-"/>
            <w:rFonts w:ascii="Verdana" w:eastAsia="Batang" w:hAnsi="Verdana"/>
            <w:i/>
            <w:sz w:val="18"/>
            <w:szCs w:val="18"/>
            <w:lang w:val="en-US" w:eastAsia="el-GR"/>
          </w:rPr>
          <w:t>ekt</w:t>
        </w:r>
        <w:proofErr w:type="spellEnd"/>
        <w:r w:rsidRPr="003F5043">
          <w:rPr>
            <w:rStyle w:val="-"/>
            <w:rFonts w:ascii="Verdana" w:eastAsia="Batang" w:hAnsi="Verdana"/>
            <w:i/>
            <w:sz w:val="18"/>
            <w:szCs w:val="18"/>
            <w:lang w:val="el-GR" w:eastAsia="el-GR"/>
          </w:rPr>
          <w:t>.</w:t>
        </w:r>
        <w:r w:rsidRPr="003F5043">
          <w:rPr>
            <w:rStyle w:val="-"/>
            <w:rFonts w:ascii="Verdana" w:eastAsia="Batang" w:hAnsi="Verdana"/>
            <w:i/>
            <w:sz w:val="18"/>
            <w:szCs w:val="18"/>
            <w:lang w:val="en-US" w:eastAsia="el-GR"/>
          </w:rPr>
          <w:t>gr</w:t>
        </w:r>
      </w:hyperlink>
      <w:r w:rsidRPr="008779CC">
        <w:rPr>
          <w:rFonts w:ascii="Verdana" w:eastAsia="Batang" w:hAnsi="Verdana"/>
          <w:i/>
          <w:sz w:val="18"/>
          <w:szCs w:val="18"/>
          <w:lang w:val="el-GR" w:eastAsia="el-GR"/>
        </w:rPr>
        <w:t>) λειτουργεί ως επιστημονική εγκατάσταση εθνικής χρήσης στο Εθνικό Ίδρυμα Ερευνών. Ως εθνική υποδομή, το ΕΚΤ έχει θεσμικό ρόλο τη συλλογή, οργάνωση, διάθεση και διατήρηση του συνόλου της ελληνικής επιστημονικής, ερευνητικής και πολιτιστικής παραγωγής (περιεχόμενο και δεδομένα) και τη διάχυσή της, εντός και εκτός της χώρας. Παρέχει ευρεία πληροφόρηση για τα θέματα έρευνας &amp; καινοτομίας, υποστηρίζει τη συμμετοχή ερευνητικών ομάδων σε εθνικά &amp; ευρωπαϊκά προγράμματα, προωθεί την καινοτόμο επιχειρηματικότητα και την αξιοπο</w:t>
      </w:r>
      <w:r>
        <w:rPr>
          <w:rFonts w:ascii="Verdana" w:eastAsia="Batang" w:hAnsi="Verdana"/>
          <w:i/>
          <w:sz w:val="18"/>
          <w:szCs w:val="18"/>
          <w:lang w:val="el-GR" w:eastAsia="el-GR"/>
        </w:rPr>
        <w:t>ίηση ερευνητικών αποτελεσμάτων</w:t>
      </w:r>
      <w:r w:rsidRPr="008779CC">
        <w:rPr>
          <w:rFonts w:ascii="Verdana" w:eastAsia="Batang" w:hAnsi="Verdana"/>
          <w:i/>
          <w:sz w:val="18"/>
          <w:szCs w:val="18"/>
          <w:lang w:val="el-GR" w:eastAsia="el-GR"/>
        </w:rPr>
        <w:t xml:space="preserve">. </w:t>
      </w:r>
      <w:r w:rsidRPr="007437C1">
        <w:rPr>
          <w:rFonts w:ascii="Verdana" w:eastAsia="Batang" w:hAnsi="Verdana"/>
          <w:i/>
          <w:sz w:val="18"/>
          <w:szCs w:val="18"/>
          <w:lang w:val="el-GR" w:eastAsia="el-GR"/>
        </w:rPr>
        <w:t xml:space="preserve">Είναι φορέας </w:t>
      </w:r>
      <w:r w:rsidR="007D6B95">
        <w:rPr>
          <w:rFonts w:ascii="Verdana" w:eastAsia="Batang" w:hAnsi="Verdana"/>
          <w:i/>
          <w:sz w:val="18"/>
          <w:szCs w:val="18"/>
          <w:lang w:val="el-GR" w:eastAsia="el-GR"/>
        </w:rPr>
        <w:t xml:space="preserve">και εθνική αρχή </w:t>
      </w:r>
      <w:r w:rsidRPr="007437C1">
        <w:rPr>
          <w:rFonts w:ascii="Verdana" w:eastAsia="Batang" w:hAnsi="Verdana"/>
          <w:i/>
          <w:sz w:val="18"/>
          <w:szCs w:val="18"/>
          <w:lang w:val="el-GR" w:eastAsia="el-GR"/>
        </w:rPr>
        <w:t>του Ελληνικού Στατιστικού Συστήματος, αρμόδιος για την παραγωγή των επίσημων  στατιστικών &amp; δεικτών για την έρευνα, την ανάπτυξη και την καινοτομία στην Ελλάδα.</w:t>
      </w:r>
      <w:r w:rsidRPr="000E41C0">
        <w:rPr>
          <w:rFonts w:ascii="Verdana" w:eastAsia="Batang" w:hAnsi="Verdana"/>
          <w:i/>
          <w:sz w:val="18"/>
          <w:szCs w:val="18"/>
          <w:lang w:val="el-GR" w:eastAsia="el-GR"/>
        </w:rPr>
        <w:t xml:space="preserve">  </w:t>
      </w:r>
    </w:p>
    <w:p w:rsidR="008779CC" w:rsidRPr="008779CC" w:rsidRDefault="008779CC" w:rsidP="008779CC">
      <w:pPr>
        <w:jc w:val="both"/>
        <w:rPr>
          <w:rFonts w:ascii="Verdana" w:eastAsia="Batang" w:hAnsi="Verdana"/>
          <w:i/>
          <w:sz w:val="18"/>
          <w:szCs w:val="18"/>
          <w:lang w:val="el-GR" w:eastAsia="el-GR"/>
        </w:rPr>
      </w:pPr>
    </w:p>
    <w:p w:rsidR="008779CC" w:rsidRPr="008779CC" w:rsidRDefault="008779CC" w:rsidP="008779CC">
      <w:pPr>
        <w:jc w:val="both"/>
        <w:rPr>
          <w:rFonts w:ascii="Verdana" w:eastAsia="Batang" w:hAnsi="Verdana"/>
          <w:i/>
          <w:sz w:val="18"/>
          <w:szCs w:val="18"/>
          <w:lang w:val="el-GR" w:eastAsia="el-GR"/>
        </w:rPr>
      </w:pPr>
      <w:r w:rsidRPr="008779CC">
        <w:rPr>
          <w:rFonts w:ascii="Verdana" w:eastAsia="Batang" w:hAnsi="Verdana"/>
          <w:i/>
          <w:sz w:val="18"/>
          <w:szCs w:val="18"/>
          <w:lang w:val="el-GR" w:eastAsia="el-GR"/>
        </w:rPr>
        <w:t>Το ΕΚΤ αναπτύσσει και λειτουργεί ηλεκτρονική υποδομή, με υψηλή επενδεδυμένη αξία και διαδικασίες, που εξυπηρετεί εθνικές πολιτικές, παρέχει προηγμένες ηλεκτρονικές υπηρεσίες σε πλήθος φορέων και χρηστών, και διασφαλίζει ανοικτή πρόσβαση σε έγκριτη γνώση σε οποιονδήποτε από οπουδήποτε.</w:t>
      </w:r>
    </w:p>
    <w:p w:rsidR="00490B85" w:rsidRDefault="00490B85" w:rsidP="00490B85">
      <w:pPr>
        <w:jc w:val="both"/>
        <w:rPr>
          <w:rFonts w:ascii="Verdana" w:eastAsia="Batang" w:hAnsi="Verdana"/>
          <w:i/>
          <w:sz w:val="18"/>
          <w:szCs w:val="18"/>
          <w:lang w:val="el-GR" w:eastAsia="el-GR"/>
        </w:rPr>
      </w:pPr>
    </w:p>
    <w:p w:rsidR="00913DE9" w:rsidRDefault="00913DE9" w:rsidP="009A535F">
      <w:pPr>
        <w:jc w:val="both"/>
        <w:rPr>
          <w:rFonts w:ascii="Verdana" w:hAnsi="Verdana"/>
          <w:b/>
          <w:szCs w:val="24"/>
          <w:lang w:val="el-GR"/>
        </w:rPr>
      </w:pPr>
    </w:p>
    <w:p w:rsidR="00B75314" w:rsidRPr="00B75314" w:rsidRDefault="009A535F" w:rsidP="009A535F">
      <w:pPr>
        <w:jc w:val="both"/>
        <w:rPr>
          <w:rFonts w:ascii="Verdana" w:hAnsi="Verdana"/>
          <w:b/>
          <w:szCs w:val="24"/>
          <w:lang w:val="el-GR"/>
        </w:rPr>
      </w:pPr>
      <w:r w:rsidRPr="00B75314">
        <w:rPr>
          <w:rFonts w:ascii="Verdana" w:hAnsi="Verdana"/>
          <w:b/>
          <w:szCs w:val="24"/>
          <w:lang w:val="el-GR"/>
        </w:rPr>
        <w:lastRenderedPageBreak/>
        <w:t>Διαγράμματα</w:t>
      </w:r>
      <w:r w:rsidR="00B75314" w:rsidRPr="00B75314">
        <w:rPr>
          <w:rFonts w:ascii="Verdana" w:hAnsi="Verdana"/>
          <w:b/>
          <w:szCs w:val="24"/>
          <w:lang w:val="el-GR"/>
        </w:rPr>
        <w:t>-Πίνακες</w:t>
      </w:r>
      <w:r w:rsidRPr="00B75314">
        <w:rPr>
          <w:rFonts w:ascii="Verdana" w:hAnsi="Verdana"/>
          <w:b/>
          <w:szCs w:val="24"/>
          <w:lang w:val="el-GR"/>
        </w:rPr>
        <w:t xml:space="preserve"> για </w:t>
      </w:r>
      <w:r w:rsidR="00E73368" w:rsidRPr="00B75314">
        <w:rPr>
          <w:rFonts w:ascii="Verdana" w:hAnsi="Verdana"/>
          <w:b/>
          <w:szCs w:val="24"/>
          <w:lang w:val="el-GR"/>
        </w:rPr>
        <w:t xml:space="preserve">δαπάνες </w:t>
      </w:r>
      <w:r w:rsidR="006A21EB" w:rsidRPr="00B75314">
        <w:rPr>
          <w:rFonts w:ascii="Verdana" w:hAnsi="Verdana"/>
          <w:b/>
          <w:szCs w:val="24"/>
          <w:lang w:val="el-GR"/>
        </w:rPr>
        <w:t>Έρευνα</w:t>
      </w:r>
      <w:r w:rsidR="00E73368" w:rsidRPr="00B75314">
        <w:rPr>
          <w:rFonts w:ascii="Verdana" w:hAnsi="Verdana"/>
          <w:b/>
          <w:szCs w:val="24"/>
          <w:lang w:val="el-GR"/>
        </w:rPr>
        <w:t>ς</w:t>
      </w:r>
      <w:r w:rsidR="006A21EB" w:rsidRPr="00B75314">
        <w:rPr>
          <w:rFonts w:ascii="Verdana" w:hAnsi="Verdana"/>
          <w:b/>
          <w:szCs w:val="24"/>
          <w:lang w:val="el-GR"/>
        </w:rPr>
        <w:t xml:space="preserve"> &amp; Ανάπτυξη</w:t>
      </w:r>
      <w:r w:rsidR="00E73368" w:rsidRPr="00B75314">
        <w:rPr>
          <w:rFonts w:ascii="Verdana" w:hAnsi="Verdana"/>
          <w:b/>
          <w:szCs w:val="24"/>
          <w:lang w:val="el-GR"/>
        </w:rPr>
        <w:t>ς</w:t>
      </w:r>
      <w:r w:rsidR="006A21EB" w:rsidRPr="00B75314">
        <w:rPr>
          <w:rFonts w:ascii="Verdana" w:hAnsi="Verdana"/>
          <w:b/>
          <w:szCs w:val="24"/>
          <w:lang w:val="el-GR"/>
        </w:rPr>
        <w:t xml:space="preserve"> </w:t>
      </w:r>
    </w:p>
    <w:p w:rsidR="00AD352E" w:rsidRDefault="006A21EB" w:rsidP="00AD352E">
      <w:pPr>
        <w:jc w:val="both"/>
        <w:rPr>
          <w:rFonts w:ascii="Verdana" w:hAnsi="Verdana"/>
          <w:b/>
          <w:szCs w:val="24"/>
          <w:lang w:val="el-GR"/>
        </w:rPr>
      </w:pPr>
      <w:r w:rsidRPr="00B75314">
        <w:rPr>
          <w:rFonts w:ascii="Verdana" w:hAnsi="Verdana"/>
          <w:b/>
          <w:szCs w:val="24"/>
          <w:lang w:val="el-GR"/>
        </w:rPr>
        <w:t>στην Ελλάδα το 201</w:t>
      </w:r>
      <w:r w:rsidR="00913DE9">
        <w:rPr>
          <w:rFonts w:ascii="Verdana" w:hAnsi="Verdana"/>
          <w:b/>
          <w:szCs w:val="24"/>
          <w:lang w:val="el-GR"/>
        </w:rPr>
        <w:t>6</w:t>
      </w:r>
      <w:r w:rsidRPr="00B75314">
        <w:rPr>
          <w:rFonts w:ascii="Verdana" w:hAnsi="Verdana"/>
          <w:b/>
          <w:szCs w:val="24"/>
          <w:lang w:val="el-GR"/>
        </w:rPr>
        <w:t xml:space="preserve"> </w:t>
      </w:r>
    </w:p>
    <w:p w:rsidR="00204737" w:rsidRDefault="00204737" w:rsidP="00AD352E">
      <w:pPr>
        <w:jc w:val="both"/>
        <w:rPr>
          <w:rFonts w:ascii="Verdana" w:hAnsi="Verdana"/>
          <w:b/>
          <w:szCs w:val="24"/>
          <w:lang w:val="el-GR"/>
        </w:rPr>
      </w:pPr>
    </w:p>
    <w:p w:rsidR="00B80DDC" w:rsidRDefault="00B80DDC" w:rsidP="00AD352E">
      <w:pPr>
        <w:jc w:val="both"/>
        <w:rPr>
          <w:rFonts w:ascii="Verdana" w:hAnsi="Verdana"/>
          <w:b/>
          <w:szCs w:val="24"/>
          <w:lang w:val="el-GR"/>
        </w:rPr>
      </w:pPr>
    </w:p>
    <w:p w:rsidR="0003399A" w:rsidRDefault="0039624E" w:rsidP="00AD352E">
      <w:pPr>
        <w:jc w:val="both"/>
        <w:rPr>
          <w:rFonts w:ascii="Verdana" w:hAnsi="Verdana"/>
          <w:b/>
          <w:szCs w:val="24"/>
          <w:lang w:val="el-GR"/>
        </w:rPr>
      </w:pPr>
      <w:r>
        <w:rPr>
          <w:rFonts w:ascii="Verdana" w:hAnsi="Verdana"/>
          <w:b/>
          <w:noProof/>
          <w:szCs w:val="24"/>
          <w:lang w:val="el-GR" w:eastAsia="el-GR"/>
        </w:rPr>
        <w:drawing>
          <wp:inline distT="0" distB="0" distL="0" distR="0">
            <wp:extent cx="5737315" cy="34671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_RDstatistics_2016_final_Greece.jpg"/>
                    <pic:cNvPicPr/>
                  </pic:nvPicPr>
                  <pic:blipFill>
                    <a:blip r:embed="rId16">
                      <a:extLst>
                        <a:ext uri="{28A0092B-C50C-407E-A947-70E740481C1C}">
                          <a14:useLocalDpi xmlns:a14="http://schemas.microsoft.com/office/drawing/2010/main" val="0"/>
                        </a:ext>
                      </a:extLst>
                    </a:blip>
                    <a:stretch>
                      <a:fillRect/>
                    </a:stretch>
                  </pic:blipFill>
                  <pic:spPr>
                    <a:xfrm>
                      <a:off x="0" y="0"/>
                      <a:ext cx="5738835" cy="3468019"/>
                    </a:xfrm>
                    <a:prstGeom prst="rect">
                      <a:avLst/>
                    </a:prstGeom>
                  </pic:spPr>
                </pic:pic>
              </a:graphicData>
            </a:graphic>
          </wp:inline>
        </w:drawing>
      </w:r>
    </w:p>
    <w:p w:rsidR="0039624E" w:rsidRDefault="0039624E" w:rsidP="001A7947">
      <w:pPr>
        <w:spacing w:after="160"/>
        <w:jc w:val="both"/>
        <w:rPr>
          <w:rFonts w:ascii="Verdana" w:eastAsia="Calibri" w:hAnsi="Verdana" w:cs="Arial"/>
          <w:b/>
          <w:iCs/>
          <w:sz w:val="18"/>
          <w:lang w:val="el-GR"/>
        </w:rPr>
      </w:pPr>
    </w:p>
    <w:p w:rsidR="0039624E" w:rsidRDefault="0039624E" w:rsidP="001A7947">
      <w:pPr>
        <w:spacing w:after="160"/>
        <w:jc w:val="both"/>
        <w:rPr>
          <w:rFonts w:ascii="Verdana" w:eastAsia="Calibri" w:hAnsi="Verdana" w:cs="Arial"/>
          <w:b/>
          <w:iCs/>
          <w:sz w:val="18"/>
          <w:lang w:val="el-GR"/>
        </w:rPr>
      </w:pPr>
    </w:p>
    <w:p w:rsidR="0039624E" w:rsidRDefault="0039624E" w:rsidP="001A7947">
      <w:pPr>
        <w:spacing w:after="160"/>
        <w:jc w:val="both"/>
        <w:rPr>
          <w:rFonts w:ascii="Verdana" w:eastAsia="Calibri" w:hAnsi="Verdana" w:cs="Arial"/>
          <w:b/>
          <w:iCs/>
          <w:sz w:val="18"/>
          <w:lang w:val="el-GR"/>
        </w:rPr>
      </w:pPr>
    </w:p>
    <w:p w:rsidR="0003399A" w:rsidRDefault="0039624E" w:rsidP="0003399A">
      <w:pPr>
        <w:keepNext/>
        <w:rPr>
          <w:rFonts w:ascii="Arial" w:eastAsia="Calibri" w:hAnsi="Arial" w:cs="Arial"/>
          <w:i/>
          <w:iCs/>
          <w:sz w:val="20"/>
          <w:szCs w:val="16"/>
          <w:lang w:val="el-GR"/>
        </w:rPr>
      </w:pPr>
      <w:r>
        <w:rPr>
          <w:rFonts w:ascii="Arial" w:eastAsia="Calibri" w:hAnsi="Arial" w:cs="Arial"/>
          <w:i/>
          <w:iCs/>
          <w:noProof/>
          <w:sz w:val="20"/>
          <w:szCs w:val="16"/>
          <w:lang w:val="el-GR" w:eastAsia="el-GR"/>
        </w:rPr>
        <w:drawing>
          <wp:inline distT="0" distB="0" distL="0" distR="0">
            <wp:extent cx="5657850" cy="3291110"/>
            <wp:effectExtent l="0" t="0" r="0" b="508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2_RDstatistics_2016_final_Greece.jpg"/>
                    <pic:cNvPicPr/>
                  </pic:nvPicPr>
                  <pic:blipFill>
                    <a:blip r:embed="rId17">
                      <a:extLst>
                        <a:ext uri="{28A0092B-C50C-407E-A947-70E740481C1C}">
                          <a14:useLocalDpi xmlns:a14="http://schemas.microsoft.com/office/drawing/2010/main" val="0"/>
                        </a:ext>
                      </a:extLst>
                    </a:blip>
                    <a:stretch>
                      <a:fillRect/>
                    </a:stretch>
                  </pic:blipFill>
                  <pic:spPr>
                    <a:xfrm>
                      <a:off x="0" y="0"/>
                      <a:ext cx="5664912" cy="3295218"/>
                    </a:xfrm>
                    <a:prstGeom prst="rect">
                      <a:avLst/>
                    </a:prstGeom>
                  </pic:spPr>
                </pic:pic>
              </a:graphicData>
            </a:graphic>
          </wp:inline>
        </w:drawing>
      </w:r>
    </w:p>
    <w:p w:rsidR="00B80DDC" w:rsidRDefault="00B80DDC" w:rsidP="00B43321">
      <w:pPr>
        <w:jc w:val="both"/>
        <w:rPr>
          <w:rFonts w:ascii="Verdana" w:hAnsi="Verdana"/>
          <w:b/>
          <w:szCs w:val="24"/>
          <w:lang w:val="el-GR"/>
        </w:rPr>
      </w:pPr>
      <w:r>
        <w:rPr>
          <w:rFonts w:ascii="Verdana" w:hAnsi="Verdana"/>
          <w:b/>
          <w:szCs w:val="24"/>
          <w:lang w:val="el-GR"/>
        </w:rPr>
        <w:br w:type="page"/>
      </w:r>
    </w:p>
    <w:p w:rsidR="00B80DDC" w:rsidRDefault="009C685B" w:rsidP="00AD352E">
      <w:pPr>
        <w:jc w:val="both"/>
        <w:rPr>
          <w:rFonts w:ascii="Verdana" w:hAnsi="Verdana"/>
          <w:b/>
          <w:szCs w:val="24"/>
          <w:lang w:val="el-GR"/>
        </w:rPr>
      </w:pPr>
      <w:r>
        <w:rPr>
          <w:rFonts w:ascii="Verdana" w:hAnsi="Verdana"/>
          <w:b/>
          <w:noProof/>
          <w:szCs w:val="24"/>
          <w:lang w:val="el-GR" w:eastAsia="el-GR"/>
        </w:rPr>
        <w:lastRenderedPageBreak/>
        <w:drawing>
          <wp:anchor distT="0" distB="0" distL="114300" distR="114300" simplePos="0" relativeHeight="251658240" behindDoc="0" locked="0" layoutInCell="1" allowOverlap="1" wp14:anchorId="1E656BB5" wp14:editId="33E1D034">
            <wp:simplePos x="0" y="0"/>
            <wp:positionH relativeFrom="column">
              <wp:posOffset>154305</wp:posOffset>
            </wp:positionH>
            <wp:positionV relativeFrom="paragraph">
              <wp:posOffset>136525</wp:posOffset>
            </wp:positionV>
            <wp:extent cx="5570220" cy="6153150"/>
            <wp:effectExtent l="0" t="0" r="0" b="0"/>
            <wp:wrapTopAndBottom/>
            <wp:docPr id="11" name="Εικόνα 11" descr="\\filesrv.ekt.gr\userdocs\nmalliou\My Documents\DEIKTES ETAK\YLOPOIISI\R&amp;D\2016\Reports\Feb2018\DELTIO TYPOY\Clipboar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srv.ekt.gr\userdocs\nmalliou\My Documents\DEIKTES ETAK\YLOPOIISI\R&amp;D\2016\Reports\Feb2018\DELTIO TYPOY\Clipboard0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0220" cy="615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0DDC" w:rsidRDefault="00B80DDC" w:rsidP="00AD352E">
      <w:pPr>
        <w:jc w:val="both"/>
        <w:rPr>
          <w:rFonts w:ascii="Verdana" w:hAnsi="Verdana"/>
          <w:b/>
          <w:szCs w:val="24"/>
          <w:lang w:val="el-GR"/>
        </w:rPr>
      </w:pPr>
    </w:p>
    <w:p w:rsidR="00B80DDC" w:rsidRDefault="00B80DDC" w:rsidP="00AD352E">
      <w:pPr>
        <w:jc w:val="both"/>
        <w:rPr>
          <w:rFonts w:ascii="Verdana" w:hAnsi="Verdana"/>
          <w:b/>
          <w:szCs w:val="24"/>
          <w:lang w:val="el-GR"/>
        </w:rPr>
      </w:pPr>
    </w:p>
    <w:p w:rsidR="00B80DDC" w:rsidRPr="00FB4F0E" w:rsidRDefault="00B80DDC" w:rsidP="00AD352E">
      <w:pPr>
        <w:jc w:val="both"/>
        <w:rPr>
          <w:rFonts w:ascii="Verdana" w:hAnsi="Verdana"/>
          <w:b/>
          <w:szCs w:val="24"/>
          <w:lang w:val="el-GR"/>
        </w:rPr>
      </w:pPr>
    </w:p>
    <w:p w:rsidR="00464CE2" w:rsidRDefault="00464CE2" w:rsidP="00AD352E">
      <w:pPr>
        <w:jc w:val="both"/>
        <w:rPr>
          <w:rFonts w:ascii="Verdana" w:hAnsi="Verdana"/>
          <w:b/>
          <w:szCs w:val="24"/>
          <w:lang w:val="el-GR"/>
        </w:rPr>
      </w:pPr>
    </w:p>
    <w:p w:rsidR="00230510" w:rsidRDefault="00230510" w:rsidP="00AD352E">
      <w:pPr>
        <w:jc w:val="both"/>
        <w:rPr>
          <w:rFonts w:ascii="Verdana" w:hAnsi="Verdana"/>
          <w:b/>
          <w:szCs w:val="24"/>
          <w:lang w:val="el-GR"/>
        </w:rPr>
      </w:pPr>
    </w:p>
    <w:p w:rsidR="00230510" w:rsidRDefault="00230510" w:rsidP="00AD352E">
      <w:pPr>
        <w:jc w:val="both"/>
        <w:rPr>
          <w:rFonts w:ascii="Verdana" w:hAnsi="Verdana"/>
          <w:b/>
          <w:szCs w:val="24"/>
          <w:lang w:val="el-GR"/>
        </w:rPr>
      </w:pPr>
    </w:p>
    <w:p w:rsidR="00230510" w:rsidRDefault="00230510" w:rsidP="00AD352E">
      <w:pPr>
        <w:jc w:val="both"/>
        <w:rPr>
          <w:rFonts w:ascii="Verdana" w:hAnsi="Verdana"/>
          <w:b/>
          <w:szCs w:val="24"/>
          <w:lang w:val="el-GR"/>
        </w:rPr>
      </w:pPr>
    </w:p>
    <w:p w:rsidR="00FC4213" w:rsidRDefault="00C07D14" w:rsidP="00204737">
      <w:pPr>
        <w:jc w:val="both"/>
        <w:rPr>
          <w:rFonts w:ascii="Arial" w:eastAsia="Calibri" w:hAnsi="Arial" w:cs="Arial"/>
          <w:i/>
          <w:iCs/>
          <w:sz w:val="20"/>
          <w:szCs w:val="16"/>
          <w:lang w:val="el-GR"/>
        </w:rPr>
      </w:pPr>
      <w:r>
        <w:rPr>
          <w:rFonts w:ascii="Arial" w:eastAsia="Calibri" w:hAnsi="Arial" w:cs="Arial"/>
          <w:i/>
          <w:iCs/>
          <w:sz w:val="20"/>
          <w:szCs w:val="16"/>
          <w:lang w:val="el-GR"/>
        </w:rPr>
        <w:br w:type="page"/>
      </w:r>
    </w:p>
    <w:p w:rsidR="002B3794" w:rsidRDefault="002B3794" w:rsidP="002B3794">
      <w:pPr>
        <w:keepNext/>
        <w:rPr>
          <w:rFonts w:ascii="Arial" w:eastAsia="Calibri" w:hAnsi="Arial" w:cs="Arial"/>
          <w:i/>
          <w:iCs/>
          <w:sz w:val="20"/>
          <w:szCs w:val="16"/>
          <w:lang w:val="el-GR"/>
        </w:rPr>
      </w:pPr>
    </w:p>
    <w:p w:rsidR="00204737" w:rsidRPr="00A54C42" w:rsidRDefault="00F92E93" w:rsidP="00A54C42">
      <w:pPr>
        <w:keepNext/>
        <w:rPr>
          <w:rFonts w:ascii="Arial" w:eastAsia="Calibri" w:hAnsi="Arial" w:cs="Arial"/>
          <w:i/>
          <w:iCs/>
          <w:sz w:val="20"/>
          <w:szCs w:val="16"/>
          <w:lang w:val="el-GR"/>
        </w:rPr>
      </w:pPr>
      <w:bookmarkStart w:id="0" w:name="_GoBack"/>
      <w:r>
        <w:rPr>
          <w:rFonts w:ascii="Arial" w:eastAsia="Calibri" w:hAnsi="Arial" w:cs="Arial"/>
          <w:i/>
          <w:iCs/>
          <w:noProof/>
          <w:sz w:val="20"/>
          <w:szCs w:val="16"/>
          <w:lang w:val="el-GR" w:eastAsia="el-GR"/>
        </w:rPr>
        <w:drawing>
          <wp:inline distT="0" distB="0" distL="0" distR="0">
            <wp:extent cx="5619750" cy="6719090"/>
            <wp:effectExtent l="0" t="0" r="0" b="571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board04_ver3.jpg"/>
                    <pic:cNvPicPr/>
                  </pic:nvPicPr>
                  <pic:blipFill>
                    <a:blip r:embed="rId19">
                      <a:extLst>
                        <a:ext uri="{28A0092B-C50C-407E-A947-70E740481C1C}">
                          <a14:useLocalDpi xmlns:a14="http://schemas.microsoft.com/office/drawing/2010/main" val="0"/>
                        </a:ext>
                      </a:extLst>
                    </a:blip>
                    <a:stretch>
                      <a:fillRect/>
                    </a:stretch>
                  </pic:blipFill>
                  <pic:spPr>
                    <a:xfrm>
                      <a:off x="0" y="0"/>
                      <a:ext cx="5621296" cy="6720938"/>
                    </a:xfrm>
                    <a:prstGeom prst="rect">
                      <a:avLst/>
                    </a:prstGeom>
                  </pic:spPr>
                </pic:pic>
              </a:graphicData>
            </a:graphic>
          </wp:inline>
        </w:drawing>
      </w:r>
      <w:bookmarkEnd w:id="0"/>
    </w:p>
    <w:sectPr w:rsidR="00204737" w:rsidRPr="00A54C42">
      <w:headerReference w:type="even" r:id="rId20"/>
      <w:headerReference w:type="default" r:id="rId21"/>
      <w:footerReference w:type="even" r:id="rId22"/>
      <w:footerReference w:type="default" r:id="rId23"/>
      <w:headerReference w:type="first" r:id="rId24"/>
      <w:footerReference w:type="first" r:id="rId25"/>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E1E" w:rsidRDefault="001D6E1E">
      <w:r>
        <w:separator/>
      </w:r>
    </w:p>
  </w:endnote>
  <w:endnote w:type="continuationSeparator" w:id="0">
    <w:p w:rsidR="001D6E1E" w:rsidRDefault="001D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39" w:rsidRDefault="003F5C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39" w:rsidRPr="00575310" w:rsidRDefault="003F5C39" w:rsidP="00147A16">
    <w:pPr>
      <w:pStyle w:val="a4"/>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3F5C39" w:rsidRPr="00147A16" w:rsidRDefault="003F5C39" w:rsidP="00147A16">
    <w:pPr>
      <w:pStyle w:val="a4"/>
      <w:tabs>
        <w:tab w:val="clear" w:pos="8640"/>
      </w:tabs>
      <w:ind w:right="283"/>
      <w:jc w:val="center"/>
      <w:rPr>
        <w:lang w:val="fr-FR"/>
      </w:rPr>
    </w:pPr>
    <w:proofErr w:type="spellStart"/>
    <w:r w:rsidRPr="00575310">
      <w:rPr>
        <w:rFonts w:ascii="Verdana" w:hAnsi="Verdana" w:cs="Tahoma"/>
        <w:sz w:val="16"/>
        <w:szCs w:val="16"/>
        <w:lang w:val="el-GR"/>
      </w:rPr>
      <w:t>Τηλ</w:t>
    </w:r>
    <w:proofErr w:type="spellEnd"/>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39" w:rsidRDefault="003F5C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E1E" w:rsidRDefault="001D6E1E">
      <w:r>
        <w:separator/>
      </w:r>
    </w:p>
  </w:footnote>
  <w:footnote w:type="continuationSeparator" w:id="0">
    <w:p w:rsidR="001D6E1E" w:rsidRDefault="001D6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39" w:rsidRDefault="003F5C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39" w:rsidRDefault="003F5C3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39" w:rsidRDefault="003F5C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9C3429"/>
    <w:multiLevelType w:val="hybridMultilevel"/>
    <w:tmpl w:val="A71A4196"/>
    <w:lvl w:ilvl="0" w:tplc="0216613A">
      <w:numFmt w:val="bullet"/>
      <w:lvlText w:val="•"/>
      <w:lvlJc w:val="left"/>
      <w:pPr>
        <w:ind w:left="294" w:hanging="720"/>
      </w:pPr>
      <w:rPr>
        <w:rFonts w:ascii="Verdana" w:eastAsia="Times New Roman" w:hAnsi="Verdana"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3">
    <w:nsid w:val="0D232E17"/>
    <w:multiLevelType w:val="hybridMultilevel"/>
    <w:tmpl w:val="AD144A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0F2A6B93"/>
    <w:multiLevelType w:val="hybridMultilevel"/>
    <w:tmpl w:val="78D4F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6">
    <w:nsid w:val="17E6070D"/>
    <w:multiLevelType w:val="hybridMultilevel"/>
    <w:tmpl w:val="5AFE5BDE"/>
    <w:lvl w:ilvl="0" w:tplc="5EF08AA6">
      <w:start w:val="21"/>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AEE4990"/>
    <w:multiLevelType w:val="hybridMultilevel"/>
    <w:tmpl w:val="9D36A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3">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5792152"/>
    <w:multiLevelType w:val="hybridMultilevel"/>
    <w:tmpl w:val="F51CC968"/>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8">
    <w:nsid w:val="36F87E05"/>
    <w:multiLevelType w:val="hybridMultilevel"/>
    <w:tmpl w:val="D7E06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A783DC7"/>
    <w:multiLevelType w:val="hybridMultilevel"/>
    <w:tmpl w:val="9D625D66"/>
    <w:lvl w:ilvl="0" w:tplc="0216613A">
      <w:numFmt w:val="bullet"/>
      <w:lvlText w:val="•"/>
      <w:lvlJc w:val="left"/>
      <w:pPr>
        <w:ind w:left="349" w:hanging="720"/>
      </w:pPr>
      <w:rPr>
        <w:rFonts w:ascii="Verdana" w:eastAsia="Times New Roman" w:hAnsi="Verdana" w:cs="Times New Roman" w:hint="default"/>
      </w:rPr>
    </w:lvl>
    <w:lvl w:ilvl="1" w:tplc="04080003" w:tentative="1">
      <w:start w:val="1"/>
      <w:numFmt w:val="bullet"/>
      <w:lvlText w:val="o"/>
      <w:lvlJc w:val="left"/>
      <w:pPr>
        <w:ind w:left="709" w:hanging="360"/>
      </w:pPr>
      <w:rPr>
        <w:rFonts w:ascii="Courier New" w:hAnsi="Courier New" w:cs="Courier New" w:hint="default"/>
      </w:rPr>
    </w:lvl>
    <w:lvl w:ilvl="2" w:tplc="04080005" w:tentative="1">
      <w:start w:val="1"/>
      <w:numFmt w:val="bullet"/>
      <w:lvlText w:val=""/>
      <w:lvlJc w:val="left"/>
      <w:pPr>
        <w:ind w:left="1429" w:hanging="360"/>
      </w:pPr>
      <w:rPr>
        <w:rFonts w:ascii="Wingdings" w:hAnsi="Wingdings" w:hint="default"/>
      </w:rPr>
    </w:lvl>
    <w:lvl w:ilvl="3" w:tplc="04080001" w:tentative="1">
      <w:start w:val="1"/>
      <w:numFmt w:val="bullet"/>
      <w:lvlText w:val=""/>
      <w:lvlJc w:val="left"/>
      <w:pPr>
        <w:ind w:left="2149" w:hanging="360"/>
      </w:pPr>
      <w:rPr>
        <w:rFonts w:ascii="Symbol" w:hAnsi="Symbol" w:hint="default"/>
      </w:rPr>
    </w:lvl>
    <w:lvl w:ilvl="4" w:tplc="04080003" w:tentative="1">
      <w:start w:val="1"/>
      <w:numFmt w:val="bullet"/>
      <w:lvlText w:val="o"/>
      <w:lvlJc w:val="left"/>
      <w:pPr>
        <w:ind w:left="2869" w:hanging="360"/>
      </w:pPr>
      <w:rPr>
        <w:rFonts w:ascii="Courier New" w:hAnsi="Courier New" w:cs="Courier New" w:hint="default"/>
      </w:rPr>
    </w:lvl>
    <w:lvl w:ilvl="5" w:tplc="04080005" w:tentative="1">
      <w:start w:val="1"/>
      <w:numFmt w:val="bullet"/>
      <w:lvlText w:val=""/>
      <w:lvlJc w:val="left"/>
      <w:pPr>
        <w:ind w:left="3589" w:hanging="360"/>
      </w:pPr>
      <w:rPr>
        <w:rFonts w:ascii="Wingdings" w:hAnsi="Wingdings" w:hint="default"/>
      </w:rPr>
    </w:lvl>
    <w:lvl w:ilvl="6" w:tplc="04080001" w:tentative="1">
      <w:start w:val="1"/>
      <w:numFmt w:val="bullet"/>
      <w:lvlText w:val=""/>
      <w:lvlJc w:val="left"/>
      <w:pPr>
        <w:ind w:left="4309" w:hanging="360"/>
      </w:pPr>
      <w:rPr>
        <w:rFonts w:ascii="Symbol" w:hAnsi="Symbol" w:hint="default"/>
      </w:rPr>
    </w:lvl>
    <w:lvl w:ilvl="7" w:tplc="04080003" w:tentative="1">
      <w:start w:val="1"/>
      <w:numFmt w:val="bullet"/>
      <w:lvlText w:val="o"/>
      <w:lvlJc w:val="left"/>
      <w:pPr>
        <w:ind w:left="5029" w:hanging="360"/>
      </w:pPr>
      <w:rPr>
        <w:rFonts w:ascii="Courier New" w:hAnsi="Courier New" w:cs="Courier New" w:hint="default"/>
      </w:rPr>
    </w:lvl>
    <w:lvl w:ilvl="8" w:tplc="04080005" w:tentative="1">
      <w:start w:val="1"/>
      <w:numFmt w:val="bullet"/>
      <w:lvlText w:val=""/>
      <w:lvlJc w:val="left"/>
      <w:pPr>
        <w:ind w:left="5749" w:hanging="360"/>
      </w:pPr>
      <w:rPr>
        <w:rFonts w:ascii="Wingdings" w:hAnsi="Wingdings" w:hint="default"/>
      </w:rPr>
    </w:lvl>
  </w:abstractNum>
  <w:abstractNum w:abstractNumId="20">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21">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3A54515"/>
    <w:multiLevelType w:val="hybridMultilevel"/>
    <w:tmpl w:val="E1644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DA61F33"/>
    <w:multiLevelType w:val="hybridMultilevel"/>
    <w:tmpl w:val="7D1E8DB6"/>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220E21"/>
    <w:multiLevelType w:val="hybridMultilevel"/>
    <w:tmpl w:val="5C802ED8"/>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B7D0F13"/>
    <w:multiLevelType w:val="hybridMultilevel"/>
    <w:tmpl w:val="469AFFD8"/>
    <w:lvl w:ilvl="0" w:tplc="3A7E45D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3A92336"/>
    <w:multiLevelType w:val="hybridMultilevel"/>
    <w:tmpl w:val="17321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8F96F91"/>
    <w:multiLevelType w:val="hybridMultilevel"/>
    <w:tmpl w:val="9500C3AC"/>
    <w:lvl w:ilvl="0" w:tplc="3A7E45D4">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A1461BD"/>
    <w:multiLevelType w:val="hybridMultilevel"/>
    <w:tmpl w:val="93627936"/>
    <w:lvl w:ilvl="0" w:tplc="04080001">
      <w:start w:val="1"/>
      <w:numFmt w:val="bullet"/>
      <w:lvlText w:val=""/>
      <w:lvlJc w:val="left"/>
      <w:pPr>
        <w:ind w:left="810" w:hanging="45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6E661090"/>
    <w:multiLevelType w:val="hybridMultilevel"/>
    <w:tmpl w:val="26A6243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6">
    <w:nsid w:val="72F9104F"/>
    <w:multiLevelType w:val="hybridMultilevel"/>
    <w:tmpl w:val="C0CE4B5A"/>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89652F0"/>
    <w:multiLevelType w:val="hybridMultilevel"/>
    <w:tmpl w:val="2ED40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D64E98"/>
    <w:multiLevelType w:val="hybridMultilevel"/>
    <w:tmpl w:val="6FC44F14"/>
    <w:lvl w:ilvl="0" w:tplc="5EF08AA6">
      <w:start w:val="21"/>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F774FD0"/>
    <w:multiLevelType w:val="hybridMultilevel"/>
    <w:tmpl w:val="31B0AABC"/>
    <w:lvl w:ilvl="0" w:tplc="A108453E">
      <w:numFmt w:val="bullet"/>
      <w:lvlText w:val="-"/>
      <w:lvlJc w:val="left"/>
      <w:pPr>
        <w:ind w:left="450" w:hanging="45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0"/>
  </w:num>
  <w:num w:numId="4">
    <w:abstractNumId w:val="7"/>
  </w:num>
  <w:num w:numId="5">
    <w:abstractNumId w:val="5"/>
  </w:num>
  <w:num w:numId="6">
    <w:abstractNumId w:val="28"/>
  </w:num>
  <w:num w:numId="7">
    <w:abstractNumId w:val="12"/>
  </w:num>
  <w:num w:numId="8">
    <w:abstractNumId w:val="20"/>
  </w:num>
  <w:num w:numId="9">
    <w:abstractNumId w:val="34"/>
  </w:num>
  <w:num w:numId="10">
    <w:abstractNumId w:val="15"/>
  </w:num>
  <w:num w:numId="11">
    <w:abstractNumId w:val="1"/>
  </w:num>
  <w:num w:numId="12">
    <w:abstractNumId w:val="21"/>
  </w:num>
  <w:num w:numId="13">
    <w:abstractNumId w:val="26"/>
  </w:num>
  <w:num w:numId="14">
    <w:abstractNumId w:val="31"/>
  </w:num>
  <w:num w:numId="15">
    <w:abstractNumId w:val="10"/>
  </w:num>
  <w:num w:numId="16">
    <w:abstractNumId w:val="17"/>
  </w:num>
  <w:num w:numId="17">
    <w:abstractNumId w:val="11"/>
  </w:num>
  <w:num w:numId="18">
    <w:abstractNumId w:val="22"/>
  </w:num>
  <w:num w:numId="19">
    <w:abstractNumId w:val="29"/>
  </w:num>
  <w:num w:numId="20">
    <w:abstractNumId w:val="13"/>
  </w:num>
  <w:num w:numId="21">
    <w:abstractNumId w:val="18"/>
  </w:num>
  <w:num w:numId="22">
    <w:abstractNumId w:val="23"/>
  </w:num>
  <w:num w:numId="23">
    <w:abstractNumId w:val="36"/>
  </w:num>
  <w:num w:numId="24">
    <w:abstractNumId w:val="39"/>
  </w:num>
  <w:num w:numId="25">
    <w:abstractNumId w:val="25"/>
  </w:num>
  <w:num w:numId="26">
    <w:abstractNumId w:val="33"/>
  </w:num>
  <w:num w:numId="27">
    <w:abstractNumId w:val="37"/>
  </w:num>
  <w:num w:numId="28">
    <w:abstractNumId w:val="27"/>
  </w:num>
  <w:num w:numId="29">
    <w:abstractNumId w:val="32"/>
  </w:num>
  <w:num w:numId="30">
    <w:abstractNumId w:val="8"/>
  </w:num>
  <w:num w:numId="31">
    <w:abstractNumId w:val="24"/>
  </w:num>
  <w:num w:numId="32">
    <w:abstractNumId w:val="16"/>
  </w:num>
  <w:num w:numId="33">
    <w:abstractNumId w:val="2"/>
  </w:num>
  <w:num w:numId="34">
    <w:abstractNumId w:val="19"/>
  </w:num>
  <w:num w:numId="35">
    <w:abstractNumId w:val="38"/>
  </w:num>
  <w:num w:numId="36">
    <w:abstractNumId w:val="6"/>
  </w:num>
  <w:num w:numId="37">
    <w:abstractNumId w:val="3"/>
  </w:num>
  <w:num w:numId="38">
    <w:abstractNumId w:val="4"/>
  </w:num>
  <w:num w:numId="39">
    <w:abstractNumId w:val="30"/>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52"/>
    <w:rsid w:val="00000087"/>
    <w:rsid w:val="0000048D"/>
    <w:rsid w:val="00002242"/>
    <w:rsid w:val="00002455"/>
    <w:rsid w:val="00002542"/>
    <w:rsid w:val="00003296"/>
    <w:rsid w:val="00003FF0"/>
    <w:rsid w:val="0000705D"/>
    <w:rsid w:val="00012928"/>
    <w:rsid w:val="0001385B"/>
    <w:rsid w:val="000152DD"/>
    <w:rsid w:val="000166AD"/>
    <w:rsid w:val="0001710A"/>
    <w:rsid w:val="00020C77"/>
    <w:rsid w:val="00024C5E"/>
    <w:rsid w:val="000255BC"/>
    <w:rsid w:val="0002734F"/>
    <w:rsid w:val="000275F9"/>
    <w:rsid w:val="00031A8A"/>
    <w:rsid w:val="0003399A"/>
    <w:rsid w:val="00034914"/>
    <w:rsid w:val="000402EA"/>
    <w:rsid w:val="00041550"/>
    <w:rsid w:val="00041F36"/>
    <w:rsid w:val="000420C9"/>
    <w:rsid w:val="00043FA0"/>
    <w:rsid w:val="000454CD"/>
    <w:rsid w:val="00046C31"/>
    <w:rsid w:val="00047621"/>
    <w:rsid w:val="000477BD"/>
    <w:rsid w:val="00047968"/>
    <w:rsid w:val="0005001C"/>
    <w:rsid w:val="000503F8"/>
    <w:rsid w:val="00051A78"/>
    <w:rsid w:val="00051E68"/>
    <w:rsid w:val="00051E69"/>
    <w:rsid w:val="00052AF0"/>
    <w:rsid w:val="00055AC2"/>
    <w:rsid w:val="000561FF"/>
    <w:rsid w:val="00060DDE"/>
    <w:rsid w:val="000610F8"/>
    <w:rsid w:val="00066324"/>
    <w:rsid w:val="0006762D"/>
    <w:rsid w:val="00067BB2"/>
    <w:rsid w:val="00067BEF"/>
    <w:rsid w:val="00067ED7"/>
    <w:rsid w:val="00071345"/>
    <w:rsid w:val="000728AD"/>
    <w:rsid w:val="000760C7"/>
    <w:rsid w:val="0007665B"/>
    <w:rsid w:val="000768E3"/>
    <w:rsid w:val="00077B41"/>
    <w:rsid w:val="00077C41"/>
    <w:rsid w:val="0008151F"/>
    <w:rsid w:val="00083B46"/>
    <w:rsid w:val="00084E4B"/>
    <w:rsid w:val="00085F61"/>
    <w:rsid w:val="00087387"/>
    <w:rsid w:val="00094295"/>
    <w:rsid w:val="00094B23"/>
    <w:rsid w:val="00096E97"/>
    <w:rsid w:val="000974FA"/>
    <w:rsid w:val="000B1064"/>
    <w:rsid w:val="000B1740"/>
    <w:rsid w:val="000B1A56"/>
    <w:rsid w:val="000B32D7"/>
    <w:rsid w:val="000C3354"/>
    <w:rsid w:val="000C730D"/>
    <w:rsid w:val="000C7338"/>
    <w:rsid w:val="000C79A6"/>
    <w:rsid w:val="000D08AE"/>
    <w:rsid w:val="000D0D14"/>
    <w:rsid w:val="000D29C5"/>
    <w:rsid w:val="000E062F"/>
    <w:rsid w:val="000E1809"/>
    <w:rsid w:val="000E4639"/>
    <w:rsid w:val="000E7A07"/>
    <w:rsid w:val="000F0094"/>
    <w:rsid w:val="000F5A18"/>
    <w:rsid w:val="00101197"/>
    <w:rsid w:val="00102DF8"/>
    <w:rsid w:val="001045A8"/>
    <w:rsid w:val="001048C3"/>
    <w:rsid w:val="001065D6"/>
    <w:rsid w:val="00107094"/>
    <w:rsid w:val="00107869"/>
    <w:rsid w:val="00107CBA"/>
    <w:rsid w:val="00111165"/>
    <w:rsid w:val="00112539"/>
    <w:rsid w:val="0011624F"/>
    <w:rsid w:val="00116B66"/>
    <w:rsid w:val="00116E7A"/>
    <w:rsid w:val="001174DE"/>
    <w:rsid w:val="0012089C"/>
    <w:rsid w:val="00120F99"/>
    <w:rsid w:val="00121291"/>
    <w:rsid w:val="00125BC2"/>
    <w:rsid w:val="00127FD0"/>
    <w:rsid w:val="001306C9"/>
    <w:rsid w:val="00131BFA"/>
    <w:rsid w:val="001345C2"/>
    <w:rsid w:val="00140197"/>
    <w:rsid w:val="00141E14"/>
    <w:rsid w:val="00144D9B"/>
    <w:rsid w:val="001478E2"/>
    <w:rsid w:val="00147A16"/>
    <w:rsid w:val="001502EC"/>
    <w:rsid w:val="00151228"/>
    <w:rsid w:val="00151A58"/>
    <w:rsid w:val="00154E74"/>
    <w:rsid w:val="001565B5"/>
    <w:rsid w:val="00157DCF"/>
    <w:rsid w:val="001600EF"/>
    <w:rsid w:val="00162977"/>
    <w:rsid w:val="001630F6"/>
    <w:rsid w:val="001633BD"/>
    <w:rsid w:val="00163E4E"/>
    <w:rsid w:val="00164C28"/>
    <w:rsid w:val="00171373"/>
    <w:rsid w:val="001724B7"/>
    <w:rsid w:val="0017310E"/>
    <w:rsid w:val="00173B17"/>
    <w:rsid w:val="00174D81"/>
    <w:rsid w:val="00174F5C"/>
    <w:rsid w:val="00175088"/>
    <w:rsid w:val="001759D9"/>
    <w:rsid w:val="00176D52"/>
    <w:rsid w:val="00177360"/>
    <w:rsid w:val="0017736B"/>
    <w:rsid w:val="00177F34"/>
    <w:rsid w:val="001801F1"/>
    <w:rsid w:val="00182A7D"/>
    <w:rsid w:val="001838EE"/>
    <w:rsid w:val="00184AD9"/>
    <w:rsid w:val="00185521"/>
    <w:rsid w:val="00187101"/>
    <w:rsid w:val="0019027D"/>
    <w:rsid w:val="00190DBA"/>
    <w:rsid w:val="0019343F"/>
    <w:rsid w:val="00193925"/>
    <w:rsid w:val="001A0009"/>
    <w:rsid w:val="001A2031"/>
    <w:rsid w:val="001A3158"/>
    <w:rsid w:val="001A4C28"/>
    <w:rsid w:val="001A5008"/>
    <w:rsid w:val="001A5B95"/>
    <w:rsid w:val="001A5E12"/>
    <w:rsid w:val="001A7321"/>
    <w:rsid w:val="001A7947"/>
    <w:rsid w:val="001B01B3"/>
    <w:rsid w:val="001B0827"/>
    <w:rsid w:val="001B3CDB"/>
    <w:rsid w:val="001B44EC"/>
    <w:rsid w:val="001B6B68"/>
    <w:rsid w:val="001B6DEA"/>
    <w:rsid w:val="001C0C58"/>
    <w:rsid w:val="001C17CA"/>
    <w:rsid w:val="001C26DE"/>
    <w:rsid w:val="001C4A1F"/>
    <w:rsid w:val="001C4AE8"/>
    <w:rsid w:val="001C5A8B"/>
    <w:rsid w:val="001C666F"/>
    <w:rsid w:val="001C7198"/>
    <w:rsid w:val="001C7226"/>
    <w:rsid w:val="001D157F"/>
    <w:rsid w:val="001D6E1E"/>
    <w:rsid w:val="001D6EB7"/>
    <w:rsid w:val="001D7FCF"/>
    <w:rsid w:val="001E2147"/>
    <w:rsid w:val="001E5782"/>
    <w:rsid w:val="001E631E"/>
    <w:rsid w:val="001F0633"/>
    <w:rsid w:val="001F087A"/>
    <w:rsid w:val="001F103A"/>
    <w:rsid w:val="001F1B24"/>
    <w:rsid w:val="001F253F"/>
    <w:rsid w:val="001F2FE6"/>
    <w:rsid w:val="001F302F"/>
    <w:rsid w:val="001F3051"/>
    <w:rsid w:val="001F35E5"/>
    <w:rsid w:val="001F6C78"/>
    <w:rsid w:val="002009B6"/>
    <w:rsid w:val="00201CB6"/>
    <w:rsid w:val="00202176"/>
    <w:rsid w:val="002027AE"/>
    <w:rsid w:val="00202D32"/>
    <w:rsid w:val="00203D90"/>
    <w:rsid w:val="00204737"/>
    <w:rsid w:val="00204A9B"/>
    <w:rsid w:val="00207C49"/>
    <w:rsid w:val="00212209"/>
    <w:rsid w:val="00212A73"/>
    <w:rsid w:val="00212F5B"/>
    <w:rsid w:val="00214882"/>
    <w:rsid w:val="0021507D"/>
    <w:rsid w:val="002152A2"/>
    <w:rsid w:val="0021597F"/>
    <w:rsid w:val="00216174"/>
    <w:rsid w:val="002167CD"/>
    <w:rsid w:val="002227C1"/>
    <w:rsid w:val="0022323C"/>
    <w:rsid w:val="0022344B"/>
    <w:rsid w:val="00223B50"/>
    <w:rsid w:val="00224A4A"/>
    <w:rsid w:val="00224A55"/>
    <w:rsid w:val="00226FE2"/>
    <w:rsid w:val="00230510"/>
    <w:rsid w:val="0023337A"/>
    <w:rsid w:val="00233BAA"/>
    <w:rsid w:val="00235351"/>
    <w:rsid w:val="0023609C"/>
    <w:rsid w:val="002374C7"/>
    <w:rsid w:val="0023771B"/>
    <w:rsid w:val="00240449"/>
    <w:rsid w:val="002414E9"/>
    <w:rsid w:val="0024183B"/>
    <w:rsid w:val="00241DB4"/>
    <w:rsid w:val="002446EC"/>
    <w:rsid w:val="00245B41"/>
    <w:rsid w:val="00246E3B"/>
    <w:rsid w:val="0024787A"/>
    <w:rsid w:val="00247A6D"/>
    <w:rsid w:val="00247FAD"/>
    <w:rsid w:val="0025135F"/>
    <w:rsid w:val="00251842"/>
    <w:rsid w:val="002562CB"/>
    <w:rsid w:val="00263DE5"/>
    <w:rsid w:val="00266C40"/>
    <w:rsid w:val="002740C3"/>
    <w:rsid w:val="00275C75"/>
    <w:rsid w:val="00281746"/>
    <w:rsid w:val="00286335"/>
    <w:rsid w:val="0029494A"/>
    <w:rsid w:val="00296316"/>
    <w:rsid w:val="002968EC"/>
    <w:rsid w:val="0029693C"/>
    <w:rsid w:val="002A1EB5"/>
    <w:rsid w:val="002A39C9"/>
    <w:rsid w:val="002A3F30"/>
    <w:rsid w:val="002A48F4"/>
    <w:rsid w:val="002A63EB"/>
    <w:rsid w:val="002B098D"/>
    <w:rsid w:val="002B2192"/>
    <w:rsid w:val="002B3794"/>
    <w:rsid w:val="002B50AA"/>
    <w:rsid w:val="002C1C15"/>
    <w:rsid w:val="002C33CD"/>
    <w:rsid w:val="002C6468"/>
    <w:rsid w:val="002C6B3F"/>
    <w:rsid w:val="002C79CF"/>
    <w:rsid w:val="002C7B03"/>
    <w:rsid w:val="002D56B1"/>
    <w:rsid w:val="002D6FD3"/>
    <w:rsid w:val="002E28F3"/>
    <w:rsid w:val="002E79E9"/>
    <w:rsid w:val="002E7AB1"/>
    <w:rsid w:val="002E7BB0"/>
    <w:rsid w:val="002F1731"/>
    <w:rsid w:val="002F362B"/>
    <w:rsid w:val="002F378C"/>
    <w:rsid w:val="002F3D70"/>
    <w:rsid w:val="002F4017"/>
    <w:rsid w:val="002F5E78"/>
    <w:rsid w:val="002F63CA"/>
    <w:rsid w:val="002F65F2"/>
    <w:rsid w:val="002F6885"/>
    <w:rsid w:val="00300C02"/>
    <w:rsid w:val="00301C1F"/>
    <w:rsid w:val="0030276E"/>
    <w:rsid w:val="0030360E"/>
    <w:rsid w:val="0030479F"/>
    <w:rsid w:val="00304955"/>
    <w:rsid w:val="0030604A"/>
    <w:rsid w:val="00306B34"/>
    <w:rsid w:val="00306F32"/>
    <w:rsid w:val="00307859"/>
    <w:rsid w:val="003078AC"/>
    <w:rsid w:val="00310B05"/>
    <w:rsid w:val="0031143D"/>
    <w:rsid w:val="00312867"/>
    <w:rsid w:val="00317256"/>
    <w:rsid w:val="00321F4C"/>
    <w:rsid w:val="00325DD0"/>
    <w:rsid w:val="00326477"/>
    <w:rsid w:val="003304DB"/>
    <w:rsid w:val="00333FD1"/>
    <w:rsid w:val="003340FB"/>
    <w:rsid w:val="0033423D"/>
    <w:rsid w:val="00335253"/>
    <w:rsid w:val="003411CE"/>
    <w:rsid w:val="003469EB"/>
    <w:rsid w:val="0034781D"/>
    <w:rsid w:val="00347C0D"/>
    <w:rsid w:val="003522B7"/>
    <w:rsid w:val="00352F3B"/>
    <w:rsid w:val="00353BB2"/>
    <w:rsid w:val="00357B56"/>
    <w:rsid w:val="0036106A"/>
    <w:rsid w:val="00362D14"/>
    <w:rsid w:val="003670DE"/>
    <w:rsid w:val="003673D0"/>
    <w:rsid w:val="00367C30"/>
    <w:rsid w:val="00370923"/>
    <w:rsid w:val="00372B8C"/>
    <w:rsid w:val="003733FD"/>
    <w:rsid w:val="003736BA"/>
    <w:rsid w:val="00377BDC"/>
    <w:rsid w:val="00380046"/>
    <w:rsid w:val="00380053"/>
    <w:rsid w:val="0038203A"/>
    <w:rsid w:val="00384B07"/>
    <w:rsid w:val="00386781"/>
    <w:rsid w:val="0038721C"/>
    <w:rsid w:val="00387BAF"/>
    <w:rsid w:val="00392C55"/>
    <w:rsid w:val="0039624E"/>
    <w:rsid w:val="00396D69"/>
    <w:rsid w:val="003A082D"/>
    <w:rsid w:val="003A14DD"/>
    <w:rsid w:val="003A2B09"/>
    <w:rsid w:val="003A2F08"/>
    <w:rsid w:val="003A42FB"/>
    <w:rsid w:val="003A472B"/>
    <w:rsid w:val="003A5BDA"/>
    <w:rsid w:val="003A6543"/>
    <w:rsid w:val="003B0728"/>
    <w:rsid w:val="003B07E0"/>
    <w:rsid w:val="003B0A97"/>
    <w:rsid w:val="003B1C1A"/>
    <w:rsid w:val="003B1D67"/>
    <w:rsid w:val="003B2792"/>
    <w:rsid w:val="003B3E94"/>
    <w:rsid w:val="003B59F2"/>
    <w:rsid w:val="003B5CEB"/>
    <w:rsid w:val="003B7971"/>
    <w:rsid w:val="003B7E04"/>
    <w:rsid w:val="003C6291"/>
    <w:rsid w:val="003D0EC7"/>
    <w:rsid w:val="003D549D"/>
    <w:rsid w:val="003D69C6"/>
    <w:rsid w:val="003E013C"/>
    <w:rsid w:val="003E0232"/>
    <w:rsid w:val="003E0870"/>
    <w:rsid w:val="003E1378"/>
    <w:rsid w:val="003E1630"/>
    <w:rsid w:val="003E34B7"/>
    <w:rsid w:val="003E3A26"/>
    <w:rsid w:val="003E5336"/>
    <w:rsid w:val="003E7D6C"/>
    <w:rsid w:val="003F3073"/>
    <w:rsid w:val="003F5C39"/>
    <w:rsid w:val="003F5D62"/>
    <w:rsid w:val="003F7DC6"/>
    <w:rsid w:val="00401750"/>
    <w:rsid w:val="004021D8"/>
    <w:rsid w:val="004065CE"/>
    <w:rsid w:val="00406C6C"/>
    <w:rsid w:val="004074BC"/>
    <w:rsid w:val="00411B4A"/>
    <w:rsid w:val="0041204A"/>
    <w:rsid w:val="004122B1"/>
    <w:rsid w:val="00414F4A"/>
    <w:rsid w:val="00416645"/>
    <w:rsid w:val="00420543"/>
    <w:rsid w:val="00423CCF"/>
    <w:rsid w:val="004255D5"/>
    <w:rsid w:val="00427A47"/>
    <w:rsid w:val="00430FEE"/>
    <w:rsid w:val="00431CF3"/>
    <w:rsid w:val="004353C1"/>
    <w:rsid w:val="00437B5B"/>
    <w:rsid w:val="00443EE2"/>
    <w:rsid w:val="004441E9"/>
    <w:rsid w:val="00444DB5"/>
    <w:rsid w:val="004456A8"/>
    <w:rsid w:val="004457A7"/>
    <w:rsid w:val="00445A25"/>
    <w:rsid w:val="00446B7B"/>
    <w:rsid w:val="00446D66"/>
    <w:rsid w:val="004517D9"/>
    <w:rsid w:val="00451E02"/>
    <w:rsid w:val="00452CF5"/>
    <w:rsid w:val="00452F44"/>
    <w:rsid w:val="004556A4"/>
    <w:rsid w:val="0045575A"/>
    <w:rsid w:val="0045671A"/>
    <w:rsid w:val="00461C84"/>
    <w:rsid w:val="00464CE2"/>
    <w:rsid w:val="004671D5"/>
    <w:rsid w:val="004674AA"/>
    <w:rsid w:val="00467DC2"/>
    <w:rsid w:val="00470804"/>
    <w:rsid w:val="00472A13"/>
    <w:rsid w:val="00472E0D"/>
    <w:rsid w:val="004747FC"/>
    <w:rsid w:val="004751B4"/>
    <w:rsid w:val="0047573F"/>
    <w:rsid w:val="0047596A"/>
    <w:rsid w:val="004769AE"/>
    <w:rsid w:val="00476D9F"/>
    <w:rsid w:val="00480014"/>
    <w:rsid w:val="004804AC"/>
    <w:rsid w:val="004816B7"/>
    <w:rsid w:val="00482544"/>
    <w:rsid w:val="0048290E"/>
    <w:rsid w:val="0048511C"/>
    <w:rsid w:val="004876B7"/>
    <w:rsid w:val="00490B85"/>
    <w:rsid w:val="0049150D"/>
    <w:rsid w:val="004917B1"/>
    <w:rsid w:val="00492A73"/>
    <w:rsid w:val="00492FD2"/>
    <w:rsid w:val="004950E2"/>
    <w:rsid w:val="004A0751"/>
    <w:rsid w:val="004A18F4"/>
    <w:rsid w:val="004A3386"/>
    <w:rsid w:val="004A3542"/>
    <w:rsid w:val="004A56DB"/>
    <w:rsid w:val="004A71E6"/>
    <w:rsid w:val="004A7E08"/>
    <w:rsid w:val="004A7EDA"/>
    <w:rsid w:val="004B0A8F"/>
    <w:rsid w:val="004B12E4"/>
    <w:rsid w:val="004B1711"/>
    <w:rsid w:val="004B2674"/>
    <w:rsid w:val="004B2BB8"/>
    <w:rsid w:val="004B478D"/>
    <w:rsid w:val="004B6BA1"/>
    <w:rsid w:val="004B7CEA"/>
    <w:rsid w:val="004C0B39"/>
    <w:rsid w:val="004C1782"/>
    <w:rsid w:val="004D1E87"/>
    <w:rsid w:val="004D41B4"/>
    <w:rsid w:val="004D4336"/>
    <w:rsid w:val="004D6AAB"/>
    <w:rsid w:val="004D7908"/>
    <w:rsid w:val="004E02F7"/>
    <w:rsid w:val="004E22D9"/>
    <w:rsid w:val="004E2636"/>
    <w:rsid w:val="004E3009"/>
    <w:rsid w:val="004E3A3F"/>
    <w:rsid w:val="004E4DC3"/>
    <w:rsid w:val="004E61F5"/>
    <w:rsid w:val="004E78A1"/>
    <w:rsid w:val="004F1E1E"/>
    <w:rsid w:val="004F3691"/>
    <w:rsid w:val="004F39BE"/>
    <w:rsid w:val="004F4A5C"/>
    <w:rsid w:val="004F5388"/>
    <w:rsid w:val="004F5A16"/>
    <w:rsid w:val="004F6EC3"/>
    <w:rsid w:val="004F75EC"/>
    <w:rsid w:val="0050302A"/>
    <w:rsid w:val="005032CA"/>
    <w:rsid w:val="00503AD4"/>
    <w:rsid w:val="00503B90"/>
    <w:rsid w:val="00504915"/>
    <w:rsid w:val="005051E4"/>
    <w:rsid w:val="00505440"/>
    <w:rsid w:val="00506AF1"/>
    <w:rsid w:val="00507494"/>
    <w:rsid w:val="00510845"/>
    <w:rsid w:val="00511092"/>
    <w:rsid w:val="00512497"/>
    <w:rsid w:val="00513B60"/>
    <w:rsid w:val="0051425A"/>
    <w:rsid w:val="00515DF8"/>
    <w:rsid w:val="00516A1A"/>
    <w:rsid w:val="0052014E"/>
    <w:rsid w:val="00520D14"/>
    <w:rsid w:val="00522446"/>
    <w:rsid w:val="005244DF"/>
    <w:rsid w:val="00525D1C"/>
    <w:rsid w:val="00525F63"/>
    <w:rsid w:val="00526A0D"/>
    <w:rsid w:val="00532709"/>
    <w:rsid w:val="005411FD"/>
    <w:rsid w:val="0054249F"/>
    <w:rsid w:val="00542FFB"/>
    <w:rsid w:val="00546F5A"/>
    <w:rsid w:val="00547466"/>
    <w:rsid w:val="00547B0D"/>
    <w:rsid w:val="00547C24"/>
    <w:rsid w:val="00547FDF"/>
    <w:rsid w:val="00551350"/>
    <w:rsid w:val="00551962"/>
    <w:rsid w:val="00555DF7"/>
    <w:rsid w:val="00555F9D"/>
    <w:rsid w:val="005567E0"/>
    <w:rsid w:val="00557D9D"/>
    <w:rsid w:val="0056062B"/>
    <w:rsid w:val="005644DA"/>
    <w:rsid w:val="00564C48"/>
    <w:rsid w:val="0056631E"/>
    <w:rsid w:val="00567E56"/>
    <w:rsid w:val="0057264C"/>
    <w:rsid w:val="00572ECC"/>
    <w:rsid w:val="00573410"/>
    <w:rsid w:val="0057549C"/>
    <w:rsid w:val="0057586F"/>
    <w:rsid w:val="00576714"/>
    <w:rsid w:val="00576FE3"/>
    <w:rsid w:val="00580B89"/>
    <w:rsid w:val="00584A35"/>
    <w:rsid w:val="00584A6D"/>
    <w:rsid w:val="00587557"/>
    <w:rsid w:val="00587FFC"/>
    <w:rsid w:val="00591361"/>
    <w:rsid w:val="005928B5"/>
    <w:rsid w:val="00594BC0"/>
    <w:rsid w:val="00594D17"/>
    <w:rsid w:val="0059558D"/>
    <w:rsid w:val="00596243"/>
    <w:rsid w:val="00596754"/>
    <w:rsid w:val="005973B3"/>
    <w:rsid w:val="00597B30"/>
    <w:rsid w:val="005A2077"/>
    <w:rsid w:val="005A2DFF"/>
    <w:rsid w:val="005A36CC"/>
    <w:rsid w:val="005A3D3E"/>
    <w:rsid w:val="005A7064"/>
    <w:rsid w:val="005A7FBF"/>
    <w:rsid w:val="005B117C"/>
    <w:rsid w:val="005B2D56"/>
    <w:rsid w:val="005B3E6A"/>
    <w:rsid w:val="005B63A8"/>
    <w:rsid w:val="005C1DD4"/>
    <w:rsid w:val="005C335D"/>
    <w:rsid w:val="005C4D2B"/>
    <w:rsid w:val="005C4F72"/>
    <w:rsid w:val="005C5103"/>
    <w:rsid w:val="005D0845"/>
    <w:rsid w:val="005D27C0"/>
    <w:rsid w:val="005D30FC"/>
    <w:rsid w:val="005D4985"/>
    <w:rsid w:val="005D5A82"/>
    <w:rsid w:val="005D65D2"/>
    <w:rsid w:val="005D7AA7"/>
    <w:rsid w:val="005E11CF"/>
    <w:rsid w:val="005E4F51"/>
    <w:rsid w:val="005E5B4D"/>
    <w:rsid w:val="005E7F60"/>
    <w:rsid w:val="005F2C1B"/>
    <w:rsid w:val="005F32E6"/>
    <w:rsid w:val="005F4216"/>
    <w:rsid w:val="005F6BC3"/>
    <w:rsid w:val="005F6C5B"/>
    <w:rsid w:val="006005D2"/>
    <w:rsid w:val="00600C26"/>
    <w:rsid w:val="00600D8C"/>
    <w:rsid w:val="00601394"/>
    <w:rsid w:val="00601C23"/>
    <w:rsid w:val="00602347"/>
    <w:rsid w:val="00602877"/>
    <w:rsid w:val="00603503"/>
    <w:rsid w:val="0060481C"/>
    <w:rsid w:val="00605483"/>
    <w:rsid w:val="00605C8A"/>
    <w:rsid w:val="0060703D"/>
    <w:rsid w:val="006076B2"/>
    <w:rsid w:val="006102F6"/>
    <w:rsid w:val="006110E0"/>
    <w:rsid w:val="00611C70"/>
    <w:rsid w:val="00612E47"/>
    <w:rsid w:val="006133E0"/>
    <w:rsid w:val="00616471"/>
    <w:rsid w:val="00616DCA"/>
    <w:rsid w:val="00622964"/>
    <w:rsid w:val="0062308D"/>
    <w:rsid w:val="00623D68"/>
    <w:rsid w:val="00624F52"/>
    <w:rsid w:val="00625FED"/>
    <w:rsid w:val="00626C83"/>
    <w:rsid w:val="0063049B"/>
    <w:rsid w:val="00641A83"/>
    <w:rsid w:val="0064210E"/>
    <w:rsid w:val="006428E0"/>
    <w:rsid w:val="00653E93"/>
    <w:rsid w:val="00654EBF"/>
    <w:rsid w:val="00657C8D"/>
    <w:rsid w:val="00657DB3"/>
    <w:rsid w:val="00662071"/>
    <w:rsid w:val="006652F7"/>
    <w:rsid w:val="00665D48"/>
    <w:rsid w:val="00665EF1"/>
    <w:rsid w:val="00667E8F"/>
    <w:rsid w:val="0067111F"/>
    <w:rsid w:val="00673EE3"/>
    <w:rsid w:val="00674748"/>
    <w:rsid w:val="00677C70"/>
    <w:rsid w:val="0068062E"/>
    <w:rsid w:val="00680D04"/>
    <w:rsid w:val="00681FBD"/>
    <w:rsid w:val="006821AE"/>
    <w:rsid w:val="00682293"/>
    <w:rsid w:val="0068284D"/>
    <w:rsid w:val="00682CEC"/>
    <w:rsid w:val="00684326"/>
    <w:rsid w:val="00687A3F"/>
    <w:rsid w:val="00687C2C"/>
    <w:rsid w:val="00692A68"/>
    <w:rsid w:val="006966EB"/>
    <w:rsid w:val="006A05C7"/>
    <w:rsid w:val="006A16B4"/>
    <w:rsid w:val="006A1853"/>
    <w:rsid w:val="006A21EB"/>
    <w:rsid w:val="006A4CB4"/>
    <w:rsid w:val="006B06F1"/>
    <w:rsid w:val="006B1E1D"/>
    <w:rsid w:val="006B2830"/>
    <w:rsid w:val="006B3E34"/>
    <w:rsid w:val="006B4F7B"/>
    <w:rsid w:val="006B5575"/>
    <w:rsid w:val="006C02AB"/>
    <w:rsid w:val="006C1FAF"/>
    <w:rsid w:val="006C5CDE"/>
    <w:rsid w:val="006C6579"/>
    <w:rsid w:val="006C7A3A"/>
    <w:rsid w:val="006D034B"/>
    <w:rsid w:val="006D147E"/>
    <w:rsid w:val="006D1D5A"/>
    <w:rsid w:val="006D1FB8"/>
    <w:rsid w:val="006D2C0F"/>
    <w:rsid w:val="006D3FF4"/>
    <w:rsid w:val="006D6496"/>
    <w:rsid w:val="006E248A"/>
    <w:rsid w:val="006E27E2"/>
    <w:rsid w:val="006E4415"/>
    <w:rsid w:val="006E517C"/>
    <w:rsid w:val="006E71A0"/>
    <w:rsid w:val="006E7D22"/>
    <w:rsid w:val="006F278C"/>
    <w:rsid w:val="006F37F0"/>
    <w:rsid w:val="006F4285"/>
    <w:rsid w:val="006F45F4"/>
    <w:rsid w:val="006F6837"/>
    <w:rsid w:val="00700A97"/>
    <w:rsid w:val="00701ED6"/>
    <w:rsid w:val="007022BA"/>
    <w:rsid w:val="007024E6"/>
    <w:rsid w:val="00704E55"/>
    <w:rsid w:val="00706102"/>
    <w:rsid w:val="007063F6"/>
    <w:rsid w:val="0071065C"/>
    <w:rsid w:val="00712DE7"/>
    <w:rsid w:val="0071387F"/>
    <w:rsid w:val="00715699"/>
    <w:rsid w:val="00717221"/>
    <w:rsid w:val="00717606"/>
    <w:rsid w:val="00717BBD"/>
    <w:rsid w:val="00717C72"/>
    <w:rsid w:val="00717C90"/>
    <w:rsid w:val="00720389"/>
    <w:rsid w:val="00720E24"/>
    <w:rsid w:val="00725856"/>
    <w:rsid w:val="00726D79"/>
    <w:rsid w:val="00726F9E"/>
    <w:rsid w:val="007273FA"/>
    <w:rsid w:val="0072777E"/>
    <w:rsid w:val="00730983"/>
    <w:rsid w:val="0073586E"/>
    <w:rsid w:val="00740164"/>
    <w:rsid w:val="007404C5"/>
    <w:rsid w:val="00741707"/>
    <w:rsid w:val="007437C1"/>
    <w:rsid w:val="007452BD"/>
    <w:rsid w:val="00746BE2"/>
    <w:rsid w:val="00747FFC"/>
    <w:rsid w:val="00754683"/>
    <w:rsid w:val="007555F9"/>
    <w:rsid w:val="00756C59"/>
    <w:rsid w:val="007576AC"/>
    <w:rsid w:val="00760A99"/>
    <w:rsid w:val="00763FF6"/>
    <w:rsid w:val="00764970"/>
    <w:rsid w:val="00764DF4"/>
    <w:rsid w:val="0076589E"/>
    <w:rsid w:val="00767222"/>
    <w:rsid w:val="00770218"/>
    <w:rsid w:val="0077097F"/>
    <w:rsid w:val="00771543"/>
    <w:rsid w:val="00772B86"/>
    <w:rsid w:val="007738A8"/>
    <w:rsid w:val="00773F4F"/>
    <w:rsid w:val="007746FC"/>
    <w:rsid w:val="00774DB8"/>
    <w:rsid w:val="0077548F"/>
    <w:rsid w:val="0077580B"/>
    <w:rsid w:val="0077685B"/>
    <w:rsid w:val="007768DD"/>
    <w:rsid w:val="0078432B"/>
    <w:rsid w:val="00784D93"/>
    <w:rsid w:val="007865C8"/>
    <w:rsid w:val="00787737"/>
    <w:rsid w:val="00787A8A"/>
    <w:rsid w:val="00790985"/>
    <w:rsid w:val="0079174C"/>
    <w:rsid w:val="00794564"/>
    <w:rsid w:val="0079507C"/>
    <w:rsid w:val="007952BB"/>
    <w:rsid w:val="00797C04"/>
    <w:rsid w:val="007A13C3"/>
    <w:rsid w:val="007A1BFD"/>
    <w:rsid w:val="007A6460"/>
    <w:rsid w:val="007A71D0"/>
    <w:rsid w:val="007B0D01"/>
    <w:rsid w:val="007B2209"/>
    <w:rsid w:val="007B4F19"/>
    <w:rsid w:val="007B5121"/>
    <w:rsid w:val="007B5B31"/>
    <w:rsid w:val="007C20E4"/>
    <w:rsid w:val="007C3C43"/>
    <w:rsid w:val="007D12A5"/>
    <w:rsid w:val="007D2EF2"/>
    <w:rsid w:val="007D4E61"/>
    <w:rsid w:val="007D5AD6"/>
    <w:rsid w:val="007D685D"/>
    <w:rsid w:val="007D6B95"/>
    <w:rsid w:val="007E07A4"/>
    <w:rsid w:val="007E5EA5"/>
    <w:rsid w:val="007E7B86"/>
    <w:rsid w:val="007F321E"/>
    <w:rsid w:val="007F64D2"/>
    <w:rsid w:val="0080060E"/>
    <w:rsid w:val="00802745"/>
    <w:rsid w:val="00802C87"/>
    <w:rsid w:val="00810672"/>
    <w:rsid w:val="00812161"/>
    <w:rsid w:val="00812886"/>
    <w:rsid w:val="00812FEB"/>
    <w:rsid w:val="008166EC"/>
    <w:rsid w:val="008170F3"/>
    <w:rsid w:val="00817570"/>
    <w:rsid w:val="0082037E"/>
    <w:rsid w:val="00820BE1"/>
    <w:rsid w:val="00820C6A"/>
    <w:rsid w:val="008214CD"/>
    <w:rsid w:val="0082427B"/>
    <w:rsid w:val="00824AE7"/>
    <w:rsid w:val="0082594D"/>
    <w:rsid w:val="00825BDD"/>
    <w:rsid w:val="008263F5"/>
    <w:rsid w:val="00827282"/>
    <w:rsid w:val="00831277"/>
    <w:rsid w:val="00831AA2"/>
    <w:rsid w:val="00833304"/>
    <w:rsid w:val="00834810"/>
    <w:rsid w:val="00835347"/>
    <w:rsid w:val="00837B46"/>
    <w:rsid w:val="00840E43"/>
    <w:rsid w:val="00841F07"/>
    <w:rsid w:val="008428E8"/>
    <w:rsid w:val="00847999"/>
    <w:rsid w:val="00850146"/>
    <w:rsid w:val="008503B8"/>
    <w:rsid w:val="008506AD"/>
    <w:rsid w:val="0085076A"/>
    <w:rsid w:val="008513B6"/>
    <w:rsid w:val="00852B95"/>
    <w:rsid w:val="008531FF"/>
    <w:rsid w:val="00855010"/>
    <w:rsid w:val="00861A7B"/>
    <w:rsid w:val="00861B75"/>
    <w:rsid w:val="00862029"/>
    <w:rsid w:val="008623E2"/>
    <w:rsid w:val="00863208"/>
    <w:rsid w:val="0086393D"/>
    <w:rsid w:val="008656C3"/>
    <w:rsid w:val="008659C1"/>
    <w:rsid w:val="00865B32"/>
    <w:rsid w:val="0086614F"/>
    <w:rsid w:val="0087003A"/>
    <w:rsid w:val="00873869"/>
    <w:rsid w:val="0087601D"/>
    <w:rsid w:val="00876189"/>
    <w:rsid w:val="00876CC8"/>
    <w:rsid w:val="00877401"/>
    <w:rsid w:val="008779CC"/>
    <w:rsid w:val="00881AC2"/>
    <w:rsid w:val="00883312"/>
    <w:rsid w:val="00883F45"/>
    <w:rsid w:val="00885876"/>
    <w:rsid w:val="008858C7"/>
    <w:rsid w:val="0088640C"/>
    <w:rsid w:val="00886A99"/>
    <w:rsid w:val="00886D8C"/>
    <w:rsid w:val="00886E14"/>
    <w:rsid w:val="00887EF5"/>
    <w:rsid w:val="008922A5"/>
    <w:rsid w:val="008937D2"/>
    <w:rsid w:val="00894E75"/>
    <w:rsid w:val="00895046"/>
    <w:rsid w:val="00895A33"/>
    <w:rsid w:val="0089664B"/>
    <w:rsid w:val="008A2313"/>
    <w:rsid w:val="008A2BE9"/>
    <w:rsid w:val="008A655C"/>
    <w:rsid w:val="008A79A7"/>
    <w:rsid w:val="008B0590"/>
    <w:rsid w:val="008B3B25"/>
    <w:rsid w:val="008B433E"/>
    <w:rsid w:val="008B571E"/>
    <w:rsid w:val="008B5B68"/>
    <w:rsid w:val="008B5E3A"/>
    <w:rsid w:val="008B6CCA"/>
    <w:rsid w:val="008C0247"/>
    <w:rsid w:val="008C14A7"/>
    <w:rsid w:val="008C240C"/>
    <w:rsid w:val="008C26FD"/>
    <w:rsid w:val="008C310F"/>
    <w:rsid w:val="008C3DD2"/>
    <w:rsid w:val="008C3EBD"/>
    <w:rsid w:val="008C4A23"/>
    <w:rsid w:val="008C65CC"/>
    <w:rsid w:val="008C6D55"/>
    <w:rsid w:val="008C759D"/>
    <w:rsid w:val="008C7C40"/>
    <w:rsid w:val="008D172D"/>
    <w:rsid w:val="008D1AAC"/>
    <w:rsid w:val="008D4B49"/>
    <w:rsid w:val="008D6253"/>
    <w:rsid w:val="008D791F"/>
    <w:rsid w:val="008D7E97"/>
    <w:rsid w:val="008E0206"/>
    <w:rsid w:val="008E3779"/>
    <w:rsid w:val="008E3ED3"/>
    <w:rsid w:val="008E4A87"/>
    <w:rsid w:val="008E6004"/>
    <w:rsid w:val="008F0B90"/>
    <w:rsid w:val="008F1E40"/>
    <w:rsid w:val="008F440E"/>
    <w:rsid w:val="008F4C6E"/>
    <w:rsid w:val="008F5231"/>
    <w:rsid w:val="008F5915"/>
    <w:rsid w:val="008F5A3B"/>
    <w:rsid w:val="008F72AD"/>
    <w:rsid w:val="0090039D"/>
    <w:rsid w:val="00901470"/>
    <w:rsid w:val="009029A1"/>
    <w:rsid w:val="009038D9"/>
    <w:rsid w:val="009041B2"/>
    <w:rsid w:val="00904718"/>
    <w:rsid w:val="00910A85"/>
    <w:rsid w:val="00910B5F"/>
    <w:rsid w:val="00911376"/>
    <w:rsid w:val="009125FB"/>
    <w:rsid w:val="00912989"/>
    <w:rsid w:val="00913DE9"/>
    <w:rsid w:val="00914008"/>
    <w:rsid w:val="0091402C"/>
    <w:rsid w:val="00915305"/>
    <w:rsid w:val="00915ADF"/>
    <w:rsid w:val="00916F46"/>
    <w:rsid w:val="00917681"/>
    <w:rsid w:val="0092146E"/>
    <w:rsid w:val="009216A4"/>
    <w:rsid w:val="009225A1"/>
    <w:rsid w:val="009230C3"/>
    <w:rsid w:val="00923A49"/>
    <w:rsid w:val="009242B7"/>
    <w:rsid w:val="009242BF"/>
    <w:rsid w:val="00925333"/>
    <w:rsid w:val="009259A4"/>
    <w:rsid w:val="00926E9F"/>
    <w:rsid w:val="00927640"/>
    <w:rsid w:val="00927706"/>
    <w:rsid w:val="00927AD2"/>
    <w:rsid w:val="00932CBC"/>
    <w:rsid w:val="00935A01"/>
    <w:rsid w:val="009379F6"/>
    <w:rsid w:val="00941BE2"/>
    <w:rsid w:val="00942C80"/>
    <w:rsid w:val="00943282"/>
    <w:rsid w:val="00943665"/>
    <w:rsid w:val="0094501C"/>
    <w:rsid w:val="0094532F"/>
    <w:rsid w:val="0094695D"/>
    <w:rsid w:val="00955EB5"/>
    <w:rsid w:val="00955ED8"/>
    <w:rsid w:val="00957570"/>
    <w:rsid w:val="00961E8D"/>
    <w:rsid w:val="009622C1"/>
    <w:rsid w:val="00964DC5"/>
    <w:rsid w:val="00965307"/>
    <w:rsid w:val="009667F6"/>
    <w:rsid w:val="009671BA"/>
    <w:rsid w:val="009673B9"/>
    <w:rsid w:val="0096794A"/>
    <w:rsid w:val="009679BC"/>
    <w:rsid w:val="009713FD"/>
    <w:rsid w:val="00971AA6"/>
    <w:rsid w:val="00971E70"/>
    <w:rsid w:val="0097445E"/>
    <w:rsid w:val="00974D7D"/>
    <w:rsid w:val="0097659D"/>
    <w:rsid w:val="0097783B"/>
    <w:rsid w:val="00977DF0"/>
    <w:rsid w:val="009806CE"/>
    <w:rsid w:val="00980D40"/>
    <w:rsid w:val="00981CBE"/>
    <w:rsid w:val="00982695"/>
    <w:rsid w:val="00984025"/>
    <w:rsid w:val="0098467E"/>
    <w:rsid w:val="009868B0"/>
    <w:rsid w:val="00993506"/>
    <w:rsid w:val="009944D0"/>
    <w:rsid w:val="009948E9"/>
    <w:rsid w:val="009969E0"/>
    <w:rsid w:val="00997708"/>
    <w:rsid w:val="009A0A02"/>
    <w:rsid w:val="009A1FAA"/>
    <w:rsid w:val="009A3CA9"/>
    <w:rsid w:val="009A535F"/>
    <w:rsid w:val="009A6EB0"/>
    <w:rsid w:val="009A742F"/>
    <w:rsid w:val="009B0A4E"/>
    <w:rsid w:val="009B1456"/>
    <w:rsid w:val="009B5EA3"/>
    <w:rsid w:val="009C43C0"/>
    <w:rsid w:val="009C6360"/>
    <w:rsid w:val="009C685B"/>
    <w:rsid w:val="009C7228"/>
    <w:rsid w:val="009D20B8"/>
    <w:rsid w:val="009D2A93"/>
    <w:rsid w:val="009D31DA"/>
    <w:rsid w:val="009D31F6"/>
    <w:rsid w:val="009D4CE3"/>
    <w:rsid w:val="009D67F5"/>
    <w:rsid w:val="009E1561"/>
    <w:rsid w:val="009E2971"/>
    <w:rsid w:val="009E2C22"/>
    <w:rsid w:val="009E3B07"/>
    <w:rsid w:val="009E58D8"/>
    <w:rsid w:val="009F2196"/>
    <w:rsid w:val="009F4ADE"/>
    <w:rsid w:val="009F616C"/>
    <w:rsid w:val="009F6855"/>
    <w:rsid w:val="009F69A4"/>
    <w:rsid w:val="009F6E41"/>
    <w:rsid w:val="00A00A42"/>
    <w:rsid w:val="00A01176"/>
    <w:rsid w:val="00A015D3"/>
    <w:rsid w:val="00A023DF"/>
    <w:rsid w:val="00A0438A"/>
    <w:rsid w:val="00A044FE"/>
    <w:rsid w:val="00A04690"/>
    <w:rsid w:val="00A05516"/>
    <w:rsid w:val="00A07712"/>
    <w:rsid w:val="00A10E83"/>
    <w:rsid w:val="00A13741"/>
    <w:rsid w:val="00A14F90"/>
    <w:rsid w:val="00A161C4"/>
    <w:rsid w:val="00A17FAB"/>
    <w:rsid w:val="00A22552"/>
    <w:rsid w:val="00A25BD0"/>
    <w:rsid w:val="00A27745"/>
    <w:rsid w:val="00A30349"/>
    <w:rsid w:val="00A35E84"/>
    <w:rsid w:val="00A36961"/>
    <w:rsid w:val="00A36A2B"/>
    <w:rsid w:val="00A375D1"/>
    <w:rsid w:val="00A37A7D"/>
    <w:rsid w:val="00A402D3"/>
    <w:rsid w:val="00A409CD"/>
    <w:rsid w:val="00A41107"/>
    <w:rsid w:val="00A437C7"/>
    <w:rsid w:val="00A451D1"/>
    <w:rsid w:val="00A46526"/>
    <w:rsid w:val="00A46618"/>
    <w:rsid w:val="00A512E0"/>
    <w:rsid w:val="00A5155A"/>
    <w:rsid w:val="00A5375B"/>
    <w:rsid w:val="00A54524"/>
    <w:rsid w:val="00A54C42"/>
    <w:rsid w:val="00A6105D"/>
    <w:rsid w:val="00A61141"/>
    <w:rsid w:val="00A6216C"/>
    <w:rsid w:val="00A65D4C"/>
    <w:rsid w:val="00A66A5E"/>
    <w:rsid w:val="00A73EF1"/>
    <w:rsid w:val="00A76347"/>
    <w:rsid w:val="00A766F6"/>
    <w:rsid w:val="00A76966"/>
    <w:rsid w:val="00A77ABF"/>
    <w:rsid w:val="00A85301"/>
    <w:rsid w:val="00A85639"/>
    <w:rsid w:val="00A875AE"/>
    <w:rsid w:val="00A92239"/>
    <w:rsid w:val="00A9671C"/>
    <w:rsid w:val="00AA138E"/>
    <w:rsid w:val="00AA198A"/>
    <w:rsid w:val="00AA4509"/>
    <w:rsid w:val="00AA459D"/>
    <w:rsid w:val="00AA56A5"/>
    <w:rsid w:val="00AA57E3"/>
    <w:rsid w:val="00AA71FC"/>
    <w:rsid w:val="00AB2817"/>
    <w:rsid w:val="00AB2D29"/>
    <w:rsid w:val="00AB3CE5"/>
    <w:rsid w:val="00AB4177"/>
    <w:rsid w:val="00AB5F19"/>
    <w:rsid w:val="00AB7FD6"/>
    <w:rsid w:val="00AC0A24"/>
    <w:rsid w:val="00AC170D"/>
    <w:rsid w:val="00AC4B50"/>
    <w:rsid w:val="00AC6CF2"/>
    <w:rsid w:val="00AC78FA"/>
    <w:rsid w:val="00AD081A"/>
    <w:rsid w:val="00AD352E"/>
    <w:rsid w:val="00AD4BD7"/>
    <w:rsid w:val="00AD5D86"/>
    <w:rsid w:val="00AD75E3"/>
    <w:rsid w:val="00AD79FA"/>
    <w:rsid w:val="00AE32B8"/>
    <w:rsid w:val="00AE3546"/>
    <w:rsid w:val="00AE40CC"/>
    <w:rsid w:val="00AE55AB"/>
    <w:rsid w:val="00AE5AED"/>
    <w:rsid w:val="00AE73E1"/>
    <w:rsid w:val="00AF1D74"/>
    <w:rsid w:val="00AF2684"/>
    <w:rsid w:val="00AF2A8A"/>
    <w:rsid w:val="00AF4412"/>
    <w:rsid w:val="00AF50D6"/>
    <w:rsid w:val="00AF5681"/>
    <w:rsid w:val="00AF7940"/>
    <w:rsid w:val="00B01BB8"/>
    <w:rsid w:val="00B0320A"/>
    <w:rsid w:val="00B0333D"/>
    <w:rsid w:val="00B04792"/>
    <w:rsid w:val="00B0494A"/>
    <w:rsid w:val="00B04971"/>
    <w:rsid w:val="00B065C0"/>
    <w:rsid w:val="00B072E5"/>
    <w:rsid w:val="00B11549"/>
    <w:rsid w:val="00B126CF"/>
    <w:rsid w:val="00B14F7B"/>
    <w:rsid w:val="00B16BAF"/>
    <w:rsid w:val="00B22257"/>
    <w:rsid w:val="00B2397B"/>
    <w:rsid w:val="00B25BF8"/>
    <w:rsid w:val="00B272B6"/>
    <w:rsid w:val="00B30CA4"/>
    <w:rsid w:val="00B31EAA"/>
    <w:rsid w:val="00B325A4"/>
    <w:rsid w:val="00B32683"/>
    <w:rsid w:val="00B32CE6"/>
    <w:rsid w:val="00B33A0A"/>
    <w:rsid w:val="00B33BAA"/>
    <w:rsid w:val="00B33DDA"/>
    <w:rsid w:val="00B34EA7"/>
    <w:rsid w:val="00B35D23"/>
    <w:rsid w:val="00B3754C"/>
    <w:rsid w:val="00B41475"/>
    <w:rsid w:val="00B43321"/>
    <w:rsid w:val="00B4482C"/>
    <w:rsid w:val="00B506B4"/>
    <w:rsid w:val="00B52601"/>
    <w:rsid w:val="00B53225"/>
    <w:rsid w:val="00B5368B"/>
    <w:rsid w:val="00B53E4A"/>
    <w:rsid w:val="00B56056"/>
    <w:rsid w:val="00B56702"/>
    <w:rsid w:val="00B568C4"/>
    <w:rsid w:val="00B572D6"/>
    <w:rsid w:val="00B6271F"/>
    <w:rsid w:val="00B63543"/>
    <w:rsid w:val="00B636FA"/>
    <w:rsid w:val="00B64732"/>
    <w:rsid w:val="00B67B1B"/>
    <w:rsid w:val="00B72501"/>
    <w:rsid w:val="00B72E30"/>
    <w:rsid w:val="00B7442F"/>
    <w:rsid w:val="00B75314"/>
    <w:rsid w:val="00B77A36"/>
    <w:rsid w:val="00B77DED"/>
    <w:rsid w:val="00B80DDC"/>
    <w:rsid w:val="00B83766"/>
    <w:rsid w:val="00B84576"/>
    <w:rsid w:val="00B84960"/>
    <w:rsid w:val="00B8557A"/>
    <w:rsid w:val="00B9039C"/>
    <w:rsid w:val="00B908E5"/>
    <w:rsid w:val="00B926E7"/>
    <w:rsid w:val="00B94FBC"/>
    <w:rsid w:val="00B972F7"/>
    <w:rsid w:val="00B97599"/>
    <w:rsid w:val="00BA021E"/>
    <w:rsid w:val="00BA249E"/>
    <w:rsid w:val="00BA2BB6"/>
    <w:rsid w:val="00BA4C3E"/>
    <w:rsid w:val="00BA7B58"/>
    <w:rsid w:val="00BB0385"/>
    <w:rsid w:val="00BB2B65"/>
    <w:rsid w:val="00BB4FEE"/>
    <w:rsid w:val="00BB52BD"/>
    <w:rsid w:val="00BB5366"/>
    <w:rsid w:val="00BB5D2F"/>
    <w:rsid w:val="00BB798F"/>
    <w:rsid w:val="00BC1787"/>
    <w:rsid w:val="00BC53D4"/>
    <w:rsid w:val="00BC6E5F"/>
    <w:rsid w:val="00BC78A9"/>
    <w:rsid w:val="00BD0A5C"/>
    <w:rsid w:val="00BD0EDD"/>
    <w:rsid w:val="00BD3688"/>
    <w:rsid w:val="00BD4D18"/>
    <w:rsid w:val="00BD7737"/>
    <w:rsid w:val="00BE02BB"/>
    <w:rsid w:val="00BE069B"/>
    <w:rsid w:val="00BE53AD"/>
    <w:rsid w:val="00BE7949"/>
    <w:rsid w:val="00BF0B5C"/>
    <w:rsid w:val="00BF0BBE"/>
    <w:rsid w:val="00BF7B82"/>
    <w:rsid w:val="00C0255C"/>
    <w:rsid w:val="00C03871"/>
    <w:rsid w:val="00C03C2B"/>
    <w:rsid w:val="00C04C79"/>
    <w:rsid w:val="00C07D14"/>
    <w:rsid w:val="00C10E9F"/>
    <w:rsid w:val="00C12FFD"/>
    <w:rsid w:val="00C13A99"/>
    <w:rsid w:val="00C1725E"/>
    <w:rsid w:val="00C20A07"/>
    <w:rsid w:val="00C260E5"/>
    <w:rsid w:val="00C263EB"/>
    <w:rsid w:val="00C31433"/>
    <w:rsid w:val="00C31DBC"/>
    <w:rsid w:val="00C32EAA"/>
    <w:rsid w:val="00C33EB9"/>
    <w:rsid w:val="00C35640"/>
    <w:rsid w:val="00C40086"/>
    <w:rsid w:val="00C40D3B"/>
    <w:rsid w:val="00C40FD4"/>
    <w:rsid w:val="00C42430"/>
    <w:rsid w:val="00C44226"/>
    <w:rsid w:val="00C50853"/>
    <w:rsid w:val="00C50FF7"/>
    <w:rsid w:val="00C51001"/>
    <w:rsid w:val="00C51180"/>
    <w:rsid w:val="00C511BA"/>
    <w:rsid w:val="00C51FA9"/>
    <w:rsid w:val="00C52108"/>
    <w:rsid w:val="00C53665"/>
    <w:rsid w:val="00C55748"/>
    <w:rsid w:val="00C57637"/>
    <w:rsid w:val="00C605EB"/>
    <w:rsid w:val="00C622CC"/>
    <w:rsid w:val="00C62660"/>
    <w:rsid w:val="00C644A5"/>
    <w:rsid w:val="00C64AEB"/>
    <w:rsid w:val="00C64CD8"/>
    <w:rsid w:val="00C65C7B"/>
    <w:rsid w:val="00C66487"/>
    <w:rsid w:val="00C7120E"/>
    <w:rsid w:val="00C7187A"/>
    <w:rsid w:val="00C72BD9"/>
    <w:rsid w:val="00C74433"/>
    <w:rsid w:val="00C749B0"/>
    <w:rsid w:val="00C80BC9"/>
    <w:rsid w:val="00C84CED"/>
    <w:rsid w:val="00C86BCA"/>
    <w:rsid w:val="00C9173B"/>
    <w:rsid w:val="00C91AAB"/>
    <w:rsid w:val="00C93093"/>
    <w:rsid w:val="00C935F9"/>
    <w:rsid w:val="00C93B3C"/>
    <w:rsid w:val="00C9422D"/>
    <w:rsid w:val="00C9555E"/>
    <w:rsid w:val="00C95EBA"/>
    <w:rsid w:val="00C96429"/>
    <w:rsid w:val="00C96A26"/>
    <w:rsid w:val="00CA1BF8"/>
    <w:rsid w:val="00CA1D76"/>
    <w:rsid w:val="00CA1E41"/>
    <w:rsid w:val="00CA308A"/>
    <w:rsid w:val="00CA6F29"/>
    <w:rsid w:val="00CA6FC4"/>
    <w:rsid w:val="00CA74AE"/>
    <w:rsid w:val="00CA7A46"/>
    <w:rsid w:val="00CA7E49"/>
    <w:rsid w:val="00CB4EBD"/>
    <w:rsid w:val="00CB4EF0"/>
    <w:rsid w:val="00CB54C9"/>
    <w:rsid w:val="00CC1C97"/>
    <w:rsid w:val="00CC3281"/>
    <w:rsid w:val="00CC7A96"/>
    <w:rsid w:val="00CD2525"/>
    <w:rsid w:val="00CD5C07"/>
    <w:rsid w:val="00CD6A0E"/>
    <w:rsid w:val="00CD7A86"/>
    <w:rsid w:val="00CE28CE"/>
    <w:rsid w:val="00CE3903"/>
    <w:rsid w:val="00CE514B"/>
    <w:rsid w:val="00CF05E2"/>
    <w:rsid w:val="00CF300B"/>
    <w:rsid w:val="00CF6C7B"/>
    <w:rsid w:val="00CF735F"/>
    <w:rsid w:val="00CF76A0"/>
    <w:rsid w:val="00CF7F2E"/>
    <w:rsid w:val="00D001F6"/>
    <w:rsid w:val="00D025B6"/>
    <w:rsid w:val="00D05D2B"/>
    <w:rsid w:val="00D13D46"/>
    <w:rsid w:val="00D14FEF"/>
    <w:rsid w:val="00D20143"/>
    <w:rsid w:val="00D21619"/>
    <w:rsid w:val="00D21784"/>
    <w:rsid w:val="00D21FA2"/>
    <w:rsid w:val="00D22247"/>
    <w:rsid w:val="00D2271D"/>
    <w:rsid w:val="00D227D2"/>
    <w:rsid w:val="00D22A8C"/>
    <w:rsid w:val="00D22C3D"/>
    <w:rsid w:val="00D22F73"/>
    <w:rsid w:val="00D23365"/>
    <w:rsid w:val="00D23EA1"/>
    <w:rsid w:val="00D32279"/>
    <w:rsid w:val="00D32F5B"/>
    <w:rsid w:val="00D3555F"/>
    <w:rsid w:val="00D35E24"/>
    <w:rsid w:val="00D35F9E"/>
    <w:rsid w:val="00D378F8"/>
    <w:rsid w:val="00D41DB8"/>
    <w:rsid w:val="00D4414F"/>
    <w:rsid w:val="00D45D0C"/>
    <w:rsid w:val="00D54724"/>
    <w:rsid w:val="00D561D6"/>
    <w:rsid w:val="00D5627B"/>
    <w:rsid w:val="00D56956"/>
    <w:rsid w:val="00D570AF"/>
    <w:rsid w:val="00D61A4A"/>
    <w:rsid w:val="00D62419"/>
    <w:rsid w:val="00D639EB"/>
    <w:rsid w:val="00D6419E"/>
    <w:rsid w:val="00D6487F"/>
    <w:rsid w:val="00D70103"/>
    <w:rsid w:val="00D72A89"/>
    <w:rsid w:val="00D72FB2"/>
    <w:rsid w:val="00D72FC6"/>
    <w:rsid w:val="00D75088"/>
    <w:rsid w:val="00D7566B"/>
    <w:rsid w:val="00D828D9"/>
    <w:rsid w:val="00D82C95"/>
    <w:rsid w:val="00D86B38"/>
    <w:rsid w:val="00D904A7"/>
    <w:rsid w:val="00D9059E"/>
    <w:rsid w:val="00D90625"/>
    <w:rsid w:val="00D90A41"/>
    <w:rsid w:val="00D92146"/>
    <w:rsid w:val="00D92949"/>
    <w:rsid w:val="00D9742C"/>
    <w:rsid w:val="00DA0206"/>
    <w:rsid w:val="00DA33FD"/>
    <w:rsid w:val="00DA468F"/>
    <w:rsid w:val="00DA6173"/>
    <w:rsid w:val="00DA7378"/>
    <w:rsid w:val="00DB1A2A"/>
    <w:rsid w:val="00DB22CC"/>
    <w:rsid w:val="00DB3DC3"/>
    <w:rsid w:val="00DB606A"/>
    <w:rsid w:val="00DB6446"/>
    <w:rsid w:val="00DB6E26"/>
    <w:rsid w:val="00DC0885"/>
    <w:rsid w:val="00DC0A9D"/>
    <w:rsid w:val="00DC0C87"/>
    <w:rsid w:val="00DC37F5"/>
    <w:rsid w:val="00DC3CA4"/>
    <w:rsid w:val="00DC69D4"/>
    <w:rsid w:val="00DC6F98"/>
    <w:rsid w:val="00DD3243"/>
    <w:rsid w:val="00DD3EFA"/>
    <w:rsid w:val="00DD4371"/>
    <w:rsid w:val="00DD4AB4"/>
    <w:rsid w:val="00DD5554"/>
    <w:rsid w:val="00DD5DE3"/>
    <w:rsid w:val="00DE146F"/>
    <w:rsid w:val="00DE1555"/>
    <w:rsid w:val="00DE19CF"/>
    <w:rsid w:val="00DE44CF"/>
    <w:rsid w:val="00DE69B9"/>
    <w:rsid w:val="00DF1056"/>
    <w:rsid w:val="00E02425"/>
    <w:rsid w:val="00E0245E"/>
    <w:rsid w:val="00E036C6"/>
    <w:rsid w:val="00E04B6E"/>
    <w:rsid w:val="00E129F5"/>
    <w:rsid w:val="00E12F72"/>
    <w:rsid w:val="00E139F5"/>
    <w:rsid w:val="00E1426E"/>
    <w:rsid w:val="00E15A49"/>
    <w:rsid w:val="00E16E3C"/>
    <w:rsid w:val="00E212A8"/>
    <w:rsid w:val="00E22099"/>
    <w:rsid w:val="00E268C6"/>
    <w:rsid w:val="00E30504"/>
    <w:rsid w:val="00E314A7"/>
    <w:rsid w:val="00E31B8D"/>
    <w:rsid w:val="00E31E7F"/>
    <w:rsid w:val="00E32449"/>
    <w:rsid w:val="00E324B5"/>
    <w:rsid w:val="00E32B5A"/>
    <w:rsid w:val="00E34B70"/>
    <w:rsid w:val="00E35AC1"/>
    <w:rsid w:val="00E362EE"/>
    <w:rsid w:val="00E36448"/>
    <w:rsid w:val="00E3677E"/>
    <w:rsid w:val="00E4125B"/>
    <w:rsid w:val="00E413B4"/>
    <w:rsid w:val="00E4200A"/>
    <w:rsid w:val="00E447EB"/>
    <w:rsid w:val="00E45EAF"/>
    <w:rsid w:val="00E45F11"/>
    <w:rsid w:val="00E46892"/>
    <w:rsid w:val="00E51A68"/>
    <w:rsid w:val="00E53B1C"/>
    <w:rsid w:val="00E54113"/>
    <w:rsid w:val="00E55D52"/>
    <w:rsid w:val="00E56F07"/>
    <w:rsid w:val="00E5786B"/>
    <w:rsid w:val="00E61700"/>
    <w:rsid w:val="00E6189A"/>
    <w:rsid w:val="00E625ED"/>
    <w:rsid w:val="00E64121"/>
    <w:rsid w:val="00E6527F"/>
    <w:rsid w:val="00E6546E"/>
    <w:rsid w:val="00E67F6D"/>
    <w:rsid w:val="00E70B54"/>
    <w:rsid w:val="00E72851"/>
    <w:rsid w:val="00E73368"/>
    <w:rsid w:val="00E740E8"/>
    <w:rsid w:val="00E74699"/>
    <w:rsid w:val="00E75545"/>
    <w:rsid w:val="00E76BD3"/>
    <w:rsid w:val="00E76C55"/>
    <w:rsid w:val="00E826D2"/>
    <w:rsid w:val="00E8356E"/>
    <w:rsid w:val="00E837E1"/>
    <w:rsid w:val="00E83DB3"/>
    <w:rsid w:val="00E87F20"/>
    <w:rsid w:val="00E90789"/>
    <w:rsid w:val="00E924DD"/>
    <w:rsid w:val="00E92B30"/>
    <w:rsid w:val="00E92D46"/>
    <w:rsid w:val="00E94AD3"/>
    <w:rsid w:val="00E959EF"/>
    <w:rsid w:val="00E961B1"/>
    <w:rsid w:val="00E97831"/>
    <w:rsid w:val="00EA2B68"/>
    <w:rsid w:val="00EA30CA"/>
    <w:rsid w:val="00EA425E"/>
    <w:rsid w:val="00EA434C"/>
    <w:rsid w:val="00EA4853"/>
    <w:rsid w:val="00EA5362"/>
    <w:rsid w:val="00EA5E4B"/>
    <w:rsid w:val="00EA6C35"/>
    <w:rsid w:val="00EA788C"/>
    <w:rsid w:val="00EA7942"/>
    <w:rsid w:val="00EB1013"/>
    <w:rsid w:val="00EB1CB9"/>
    <w:rsid w:val="00EB6B45"/>
    <w:rsid w:val="00EB7A3D"/>
    <w:rsid w:val="00EC092F"/>
    <w:rsid w:val="00EC1827"/>
    <w:rsid w:val="00EC259D"/>
    <w:rsid w:val="00EC3A09"/>
    <w:rsid w:val="00EC4E8C"/>
    <w:rsid w:val="00ED271A"/>
    <w:rsid w:val="00ED35C4"/>
    <w:rsid w:val="00ED3EED"/>
    <w:rsid w:val="00ED4531"/>
    <w:rsid w:val="00ED5633"/>
    <w:rsid w:val="00ED7510"/>
    <w:rsid w:val="00EE0C9E"/>
    <w:rsid w:val="00EE38DD"/>
    <w:rsid w:val="00EE4B90"/>
    <w:rsid w:val="00EE548D"/>
    <w:rsid w:val="00EE65E5"/>
    <w:rsid w:val="00EE73C1"/>
    <w:rsid w:val="00EF1E6C"/>
    <w:rsid w:val="00EF4051"/>
    <w:rsid w:val="00EF5117"/>
    <w:rsid w:val="00EF5AC3"/>
    <w:rsid w:val="00EF6136"/>
    <w:rsid w:val="00EF6906"/>
    <w:rsid w:val="00EF75E1"/>
    <w:rsid w:val="00F018C9"/>
    <w:rsid w:val="00F02F37"/>
    <w:rsid w:val="00F04405"/>
    <w:rsid w:val="00F059E2"/>
    <w:rsid w:val="00F0644D"/>
    <w:rsid w:val="00F0673E"/>
    <w:rsid w:val="00F069B5"/>
    <w:rsid w:val="00F07435"/>
    <w:rsid w:val="00F1287B"/>
    <w:rsid w:val="00F13155"/>
    <w:rsid w:val="00F15A64"/>
    <w:rsid w:val="00F1689D"/>
    <w:rsid w:val="00F16FC5"/>
    <w:rsid w:val="00F254F5"/>
    <w:rsid w:val="00F2703B"/>
    <w:rsid w:val="00F31044"/>
    <w:rsid w:val="00F34125"/>
    <w:rsid w:val="00F342ED"/>
    <w:rsid w:val="00F35061"/>
    <w:rsid w:val="00F35640"/>
    <w:rsid w:val="00F36EF0"/>
    <w:rsid w:val="00F40724"/>
    <w:rsid w:val="00F41841"/>
    <w:rsid w:val="00F42D48"/>
    <w:rsid w:val="00F43651"/>
    <w:rsid w:val="00F44A22"/>
    <w:rsid w:val="00F4565D"/>
    <w:rsid w:val="00F46062"/>
    <w:rsid w:val="00F46410"/>
    <w:rsid w:val="00F47ACB"/>
    <w:rsid w:val="00F50E63"/>
    <w:rsid w:val="00F51FD6"/>
    <w:rsid w:val="00F55504"/>
    <w:rsid w:val="00F5733D"/>
    <w:rsid w:val="00F60BD8"/>
    <w:rsid w:val="00F6417E"/>
    <w:rsid w:val="00F6473E"/>
    <w:rsid w:val="00F6608A"/>
    <w:rsid w:val="00F66D83"/>
    <w:rsid w:val="00F700D1"/>
    <w:rsid w:val="00F74CFE"/>
    <w:rsid w:val="00F75F6C"/>
    <w:rsid w:val="00F80DBF"/>
    <w:rsid w:val="00F818D6"/>
    <w:rsid w:val="00F81C4E"/>
    <w:rsid w:val="00F83D00"/>
    <w:rsid w:val="00F90618"/>
    <w:rsid w:val="00F91418"/>
    <w:rsid w:val="00F92373"/>
    <w:rsid w:val="00F92E93"/>
    <w:rsid w:val="00FA2084"/>
    <w:rsid w:val="00FA4E28"/>
    <w:rsid w:val="00FA5685"/>
    <w:rsid w:val="00FA5E57"/>
    <w:rsid w:val="00FB01A6"/>
    <w:rsid w:val="00FB4F0E"/>
    <w:rsid w:val="00FB5B36"/>
    <w:rsid w:val="00FC0D81"/>
    <w:rsid w:val="00FC1A2C"/>
    <w:rsid w:val="00FC4213"/>
    <w:rsid w:val="00FC4C5A"/>
    <w:rsid w:val="00FC5E68"/>
    <w:rsid w:val="00FC651D"/>
    <w:rsid w:val="00FC700F"/>
    <w:rsid w:val="00FC7D2E"/>
    <w:rsid w:val="00FC7E16"/>
    <w:rsid w:val="00FD0B96"/>
    <w:rsid w:val="00FD2F31"/>
    <w:rsid w:val="00FD624A"/>
    <w:rsid w:val="00FD6D57"/>
    <w:rsid w:val="00FD6D63"/>
    <w:rsid w:val="00FD7D99"/>
    <w:rsid w:val="00FE0F54"/>
    <w:rsid w:val="00FE186D"/>
    <w:rsid w:val="00FE1E74"/>
    <w:rsid w:val="00FE5CD0"/>
    <w:rsid w:val="00FE7356"/>
    <w:rsid w:val="00FF347C"/>
    <w:rsid w:val="00FF51E6"/>
    <w:rsid w:val="00FF52E8"/>
    <w:rsid w:val="00FF5617"/>
    <w:rsid w:val="00FF6C20"/>
    <w:rsid w:val="00FF79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88AA02B-2F97-46E3-A18E-16F0E79D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281"/>
    <w:rPr>
      <w:sz w:val="24"/>
      <w:lang w:val="en-AU" w:eastAsia="en-US"/>
    </w:rPr>
  </w:style>
  <w:style w:type="paragraph" w:styleId="1">
    <w:name w:val="heading 1"/>
    <w:basedOn w:val="a"/>
    <w:next w:val="a"/>
    <w:qFormat/>
    <w:pPr>
      <w:keepNext/>
      <w:jc w:val="center"/>
      <w:outlineLvl w:val="0"/>
    </w:pPr>
    <w:rPr>
      <w:b/>
      <w:bCs/>
      <w:sz w:val="28"/>
      <w:lang w:val="el-GR"/>
    </w:rPr>
  </w:style>
  <w:style w:type="paragraph" w:styleId="2">
    <w:name w:val="heading 2"/>
    <w:basedOn w:val="a"/>
    <w:next w:val="a"/>
    <w:qFormat/>
    <w:pPr>
      <w:keepNext/>
      <w:jc w:val="center"/>
      <w:outlineLvl w:val="1"/>
    </w:pPr>
    <w:rPr>
      <w:sz w:val="28"/>
      <w:lang w:val="el-GR"/>
    </w:rPr>
  </w:style>
  <w:style w:type="paragraph" w:styleId="9">
    <w:name w:val="heading 9"/>
    <w:basedOn w:val="a"/>
    <w:next w:val="a"/>
    <w:qFormat/>
    <w:pPr>
      <w:keepNext/>
      <w:spacing w:line="288" w:lineRule="auto"/>
      <w:ind w:left="5040" w:right="91" w:firstLine="720"/>
      <w:jc w:val="both"/>
      <w:outlineLvl w:val="8"/>
    </w:pPr>
    <w:rPr>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2"/>
      <w:lang w:val="en-US"/>
    </w:rPr>
  </w:style>
  <w:style w:type="paragraph" w:styleId="a4">
    <w:name w:val="footer"/>
    <w:basedOn w:val="a"/>
    <w:pPr>
      <w:tabs>
        <w:tab w:val="center" w:pos="4320"/>
        <w:tab w:val="right" w:pos="8640"/>
      </w:tabs>
    </w:pPr>
    <w:rPr>
      <w:sz w:val="20"/>
      <w:lang w:val="en-US"/>
    </w:rPr>
  </w:style>
  <w:style w:type="character" w:styleId="-">
    <w:name w:val="Hyperlink"/>
    <w:rPr>
      <w:color w:val="0000FF"/>
      <w:u w:val="single"/>
    </w:rPr>
  </w:style>
  <w:style w:type="paragraph" w:styleId="a5">
    <w:name w:val="Subtitle"/>
    <w:basedOn w:val="a"/>
    <w:qFormat/>
    <w:pPr>
      <w:jc w:val="center"/>
      <w:outlineLvl w:val="0"/>
    </w:pPr>
    <w:rPr>
      <w:b/>
      <w:lang w:val="el-GR"/>
    </w:rPr>
  </w:style>
  <w:style w:type="character" w:styleId="-0">
    <w:name w:val="FollowedHyperlink"/>
    <w:rPr>
      <w:color w:val="800080"/>
      <w:u w:val="single"/>
    </w:rPr>
  </w:style>
  <w:style w:type="paragraph" w:styleId="a6">
    <w:name w:val="header"/>
    <w:basedOn w:val="a"/>
    <w:pPr>
      <w:tabs>
        <w:tab w:val="center" w:pos="4153"/>
        <w:tab w:val="right" w:pos="8306"/>
      </w:tabs>
    </w:pPr>
  </w:style>
  <w:style w:type="paragraph" w:styleId="a7">
    <w:name w:val="Body Text"/>
    <w:basedOn w:val="a"/>
    <w:pPr>
      <w:jc w:val="both"/>
    </w:pPr>
    <w:rPr>
      <w:lang w:val="el-GR"/>
    </w:rPr>
  </w:style>
  <w:style w:type="paragraph" w:styleId="20">
    <w:name w:val="Body Text 2"/>
    <w:basedOn w:val="a"/>
    <w:pPr>
      <w:jc w:val="center"/>
    </w:pPr>
    <w:rPr>
      <w:b/>
      <w:bCs/>
      <w:lang w:val="el-GR"/>
    </w:rPr>
  </w:style>
  <w:style w:type="paragraph" w:styleId="3">
    <w:name w:val="Body Text 3"/>
    <w:basedOn w:val="a"/>
    <w:pPr>
      <w:jc w:val="both"/>
    </w:pPr>
    <w:rPr>
      <w:sz w:val="26"/>
      <w:lang w:val="el-GR"/>
    </w:rPr>
  </w:style>
  <w:style w:type="paragraph" w:styleId="a8">
    <w:name w:val="Balloon Text"/>
    <w:basedOn w:val="a"/>
    <w:semiHidden/>
    <w:rPr>
      <w:rFonts w:ascii="Tahoma" w:hAnsi="Tahoma" w:cs="Tahoma"/>
      <w:sz w:val="16"/>
      <w:szCs w:val="16"/>
    </w:rPr>
  </w:style>
  <w:style w:type="paragraph" w:styleId="Web">
    <w:name w:val="Normal (Web)"/>
    <w:basedOn w:val="a"/>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a"/>
    <w:rsid w:val="008506AD"/>
    <w:pPr>
      <w:spacing w:after="160" w:line="240" w:lineRule="exact"/>
    </w:pPr>
    <w:rPr>
      <w:rFonts w:ascii="Verdana" w:hAnsi="Verdana"/>
      <w:sz w:val="20"/>
      <w:lang w:val="en-US"/>
    </w:rPr>
  </w:style>
  <w:style w:type="paragraph" w:customStyle="1" w:styleId="Char">
    <w:name w:val="Char"/>
    <w:basedOn w:val="a"/>
    <w:rsid w:val="0062308D"/>
    <w:pPr>
      <w:spacing w:after="160" w:line="240" w:lineRule="exact"/>
    </w:pPr>
    <w:rPr>
      <w:rFonts w:ascii="Verdana" w:hAnsi="Verdana"/>
      <w:sz w:val="20"/>
      <w:lang w:val="en-US"/>
    </w:rPr>
  </w:style>
  <w:style w:type="character" w:styleId="a9">
    <w:name w:val="annotation reference"/>
    <w:semiHidden/>
    <w:rsid w:val="001A5E12"/>
    <w:rPr>
      <w:sz w:val="16"/>
      <w:szCs w:val="16"/>
    </w:rPr>
  </w:style>
  <w:style w:type="paragraph" w:styleId="aa">
    <w:name w:val="annotation text"/>
    <w:basedOn w:val="a"/>
    <w:semiHidden/>
    <w:rsid w:val="001A5E12"/>
    <w:rPr>
      <w:sz w:val="20"/>
    </w:rPr>
  </w:style>
  <w:style w:type="paragraph" w:styleId="ab">
    <w:name w:val="annotation subject"/>
    <w:basedOn w:val="aa"/>
    <w:next w:val="aa"/>
    <w:semiHidden/>
    <w:rsid w:val="001A5E12"/>
    <w:rPr>
      <w:b/>
      <w:bCs/>
    </w:rPr>
  </w:style>
  <w:style w:type="table" w:styleId="ac">
    <w:name w:val="Table Grid"/>
    <w:basedOn w:val="a1"/>
    <w:uiPriority w:val="59"/>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1B3CDB"/>
    <w:pPr>
      <w:spacing w:after="160" w:line="240" w:lineRule="exact"/>
    </w:pPr>
    <w:rPr>
      <w:rFonts w:ascii="Verdana" w:hAnsi="Verdana"/>
      <w:sz w:val="20"/>
      <w:lang w:val="en-US"/>
    </w:rPr>
  </w:style>
  <w:style w:type="character" w:customStyle="1" w:styleId="watch-title">
    <w:name w:val="watch-title"/>
    <w:rsid w:val="00C7120E"/>
  </w:style>
  <w:style w:type="paragraph" w:styleId="ad">
    <w:name w:val="footnote text"/>
    <w:basedOn w:val="a"/>
    <w:link w:val="Char0"/>
    <w:uiPriority w:val="99"/>
    <w:unhideWhenUsed/>
    <w:rsid w:val="00DA0206"/>
    <w:rPr>
      <w:rFonts w:ascii="Calibri" w:eastAsia="Calibri" w:hAnsi="Calibri"/>
      <w:sz w:val="20"/>
      <w:lang w:val="x-none"/>
    </w:rPr>
  </w:style>
  <w:style w:type="character" w:customStyle="1" w:styleId="Char0">
    <w:name w:val="Κείμενο υποσημείωσης Char"/>
    <w:link w:val="ad"/>
    <w:uiPriority w:val="99"/>
    <w:rsid w:val="00DA0206"/>
    <w:rPr>
      <w:rFonts w:ascii="Calibri" w:eastAsia="Calibri" w:hAnsi="Calibri"/>
      <w:lang w:eastAsia="en-US"/>
    </w:rPr>
  </w:style>
  <w:style w:type="character" w:styleId="ae">
    <w:name w:val="footnote reference"/>
    <w:uiPriority w:val="99"/>
    <w:semiHidden/>
    <w:unhideWhenUsed/>
    <w:rsid w:val="00DA0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60175897">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260843927">
      <w:bodyDiv w:val="1"/>
      <w:marLeft w:val="0"/>
      <w:marRight w:val="0"/>
      <w:marTop w:val="0"/>
      <w:marBottom w:val="0"/>
      <w:divBdr>
        <w:top w:val="none" w:sz="0" w:space="0" w:color="auto"/>
        <w:left w:val="none" w:sz="0" w:space="0" w:color="auto"/>
        <w:bottom w:val="none" w:sz="0" w:space="0" w:color="auto"/>
        <w:right w:val="none" w:sz="0" w:space="0" w:color="auto"/>
      </w:divBdr>
      <w:divsChild>
        <w:div w:id="88241324">
          <w:marLeft w:val="0"/>
          <w:marRight w:val="0"/>
          <w:marTop w:val="0"/>
          <w:marBottom w:val="0"/>
          <w:divBdr>
            <w:top w:val="none" w:sz="0" w:space="0" w:color="auto"/>
            <w:left w:val="none" w:sz="0" w:space="0" w:color="auto"/>
            <w:bottom w:val="none" w:sz="0" w:space="0" w:color="auto"/>
            <w:right w:val="none" w:sz="0" w:space="0" w:color="auto"/>
          </w:divBdr>
        </w:div>
        <w:div w:id="153841386">
          <w:marLeft w:val="0"/>
          <w:marRight w:val="0"/>
          <w:marTop w:val="0"/>
          <w:marBottom w:val="0"/>
          <w:divBdr>
            <w:top w:val="none" w:sz="0" w:space="0" w:color="auto"/>
            <w:left w:val="none" w:sz="0" w:space="0" w:color="auto"/>
            <w:bottom w:val="none" w:sz="0" w:space="0" w:color="auto"/>
            <w:right w:val="none" w:sz="0" w:space="0" w:color="auto"/>
          </w:divBdr>
        </w:div>
        <w:div w:id="172847214">
          <w:marLeft w:val="0"/>
          <w:marRight w:val="0"/>
          <w:marTop w:val="0"/>
          <w:marBottom w:val="0"/>
          <w:divBdr>
            <w:top w:val="none" w:sz="0" w:space="0" w:color="auto"/>
            <w:left w:val="none" w:sz="0" w:space="0" w:color="auto"/>
            <w:bottom w:val="none" w:sz="0" w:space="0" w:color="auto"/>
            <w:right w:val="none" w:sz="0" w:space="0" w:color="auto"/>
          </w:divBdr>
        </w:div>
        <w:div w:id="261492166">
          <w:marLeft w:val="0"/>
          <w:marRight w:val="0"/>
          <w:marTop w:val="0"/>
          <w:marBottom w:val="0"/>
          <w:divBdr>
            <w:top w:val="none" w:sz="0" w:space="0" w:color="auto"/>
            <w:left w:val="none" w:sz="0" w:space="0" w:color="auto"/>
            <w:bottom w:val="none" w:sz="0" w:space="0" w:color="auto"/>
            <w:right w:val="none" w:sz="0" w:space="0" w:color="auto"/>
          </w:divBdr>
        </w:div>
        <w:div w:id="298993744">
          <w:marLeft w:val="0"/>
          <w:marRight w:val="0"/>
          <w:marTop w:val="0"/>
          <w:marBottom w:val="0"/>
          <w:divBdr>
            <w:top w:val="none" w:sz="0" w:space="0" w:color="auto"/>
            <w:left w:val="none" w:sz="0" w:space="0" w:color="auto"/>
            <w:bottom w:val="none" w:sz="0" w:space="0" w:color="auto"/>
            <w:right w:val="none" w:sz="0" w:space="0" w:color="auto"/>
          </w:divBdr>
        </w:div>
        <w:div w:id="299921483">
          <w:marLeft w:val="0"/>
          <w:marRight w:val="0"/>
          <w:marTop w:val="0"/>
          <w:marBottom w:val="0"/>
          <w:divBdr>
            <w:top w:val="none" w:sz="0" w:space="0" w:color="auto"/>
            <w:left w:val="none" w:sz="0" w:space="0" w:color="auto"/>
            <w:bottom w:val="none" w:sz="0" w:space="0" w:color="auto"/>
            <w:right w:val="none" w:sz="0" w:space="0" w:color="auto"/>
          </w:divBdr>
        </w:div>
        <w:div w:id="505485554">
          <w:marLeft w:val="0"/>
          <w:marRight w:val="0"/>
          <w:marTop w:val="0"/>
          <w:marBottom w:val="0"/>
          <w:divBdr>
            <w:top w:val="none" w:sz="0" w:space="0" w:color="auto"/>
            <w:left w:val="none" w:sz="0" w:space="0" w:color="auto"/>
            <w:bottom w:val="none" w:sz="0" w:space="0" w:color="auto"/>
            <w:right w:val="none" w:sz="0" w:space="0" w:color="auto"/>
          </w:divBdr>
        </w:div>
        <w:div w:id="649795903">
          <w:marLeft w:val="0"/>
          <w:marRight w:val="0"/>
          <w:marTop w:val="0"/>
          <w:marBottom w:val="0"/>
          <w:divBdr>
            <w:top w:val="none" w:sz="0" w:space="0" w:color="auto"/>
            <w:left w:val="none" w:sz="0" w:space="0" w:color="auto"/>
            <w:bottom w:val="none" w:sz="0" w:space="0" w:color="auto"/>
            <w:right w:val="none" w:sz="0" w:space="0" w:color="auto"/>
          </w:divBdr>
        </w:div>
        <w:div w:id="824197885">
          <w:marLeft w:val="0"/>
          <w:marRight w:val="0"/>
          <w:marTop w:val="0"/>
          <w:marBottom w:val="0"/>
          <w:divBdr>
            <w:top w:val="none" w:sz="0" w:space="0" w:color="auto"/>
            <w:left w:val="none" w:sz="0" w:space="0" w:color="auto"/>
            <w:bottom w:val="none" w:sz="0" w:space="0" w:color="auto"/>
            <w:right w:val="none" w:sz="0" w:space="0" w:color="auto"/>
          </w:divBdr>
        </w:div>
        <w:div w:id="1013335088">
          <w:marLeft w:val="0"/>
          <w:marRight w:val="0"/>
          <w:marTop w:val="0"/>
          <w:marBottom w:val="0"/>
          <w:divBdr>
            <w:top w:val="none" w:sz="0" w:space="0" w:color="auto"/>
            <w:left w:val="none" w:sz="0" w:space="0" w:color="auto"/>
            <w:bottom w:val="none" w:sz="0" w:space="0" w:color="auto"/>
            <w:right w:val="none" w:sz="0" w:space="0" w:color="auto"/>
          </w:divBdr>
        </w:div>
        <w:div w:id="1142891023">
          <w:marLeft w:val="0"/>
          <w:marRight w:val="0"/>
          <w:marTop w:val="0"/>
          <w:marBottom w:val="0"/>
          <w:divBdr>
            <w:top w:val="none" w:sz="0" w:space="0" w:color="auto"/>
            <w:left w:val="none" w:sz="0" w:space="0" w:color="auto"/>
            <w:bottom w:val="none" w:sz="0" w:space="0" w:color="auto"/>
            <w:right w:val="none" w:sz="0" w:space="0" w:color="auto"/>
          </w:divBdr>
        </w:div>
        <w:div w:id="1857649860">
          <w:marLeft w:val="0"/>
          <w:marRight w:val="0"/>
          <w:marTop w:val="0"/>
          <w:marBottom w:val="0"/>
          <w:divBdr>
            <w:top w:val="none" w:sz="0" w:space="0" w:color="auto"/>
            <w:left w:val="none" w:sz="0" w:space="0" w:color="auto"/>
            <w:bottom w:val="none" w:sz="0" w:space="0" w:color="auto"/>
            <w:right w:val="none" w:sz="0" w:space="0" w:color="auto"/>
          </w:divBdr>
        </w:div>
        <w:div w:id="1926837228">
          <w:marLeft w:val="0"/>
          <w:marRight w:val="0"/>
          <w:marTop w:val="0"/>
          <w:marBottom w:val="0"/>
          <w:divBdr>
            <w:top w:val="none" w:sz="0" w:space="0" w:color="auto"/>
            <w:left w:val="none" w:sz="0" w:space="0" w:color="auto"/>
            <w:bottom w:val="none" w:sz="0" w:space="0" w:color="auto"/>
            <w:right w:val="none" w:sz="0" w:space="0" w:color="auto"/>
          </w:divBdr>
        </w:div>
      </w:divsChild>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842207214">
      <w:bodyDiv w:val="1"/>
      <w:marLeft w:val="0"/>
      <w:marRight w:val="0"/>
      <w:marTop w:val="0"/>
      <w:marBottom w:val="0"/>
      <w:divBdr>
        <w:top w:val="none" w:sz="0" w:space="0" w:color="auto"/>
        <w:left w:val="none" w:sz="0" w:space="0" w:color="auto"/>
        <w:bottom w:val="none" w:sz="0" w:space="0" w:color="auto"/>
        <w:right w:val="none" w:sz="0" w:space="0" w:color="auto"/>
      </w:divBdr>
      <w:divsChild>
        <w:div w:id="1046680999">
          <w:marLeft w:val="0"/>
          <w:marRight w:val="0"/>
          <w:marTop w:val="0"/>
          <w:marBottom w:val="0"/>
          <w:divBdr>
            <w:top w:val="none" w:sz="0" w:space="0" w:color="auto"/>
            <w:left w:val="none" w:sz="0" w:space="0" w:color="auto"/>
            <w:bottom w:val="none" w:sz="0" w:space="0" w:color="auto"/>
            <w:right w:val="none" w:sz="0" w:space="0" w:color="auto"/>
          </w:divBdr>
        </w:div>
        <w:div w:id="1124805930">
          <w:marLeft w:val="0"/>
          <w:marRight w:val="0"/>
          <w:marTop w:val="0"/>
          <w:marBottom w:val="0"/>
          <w:divBdr>
            <w:top w:val="none" w:sz="0" w:space="0" w:color="auto"/>
            <w:left w:val="none" w:sz="0" w:space="0" w:color="auto"/>
            <w:bottom w:val="none" w:sz="0" w:space="0" w:color="auto"/>
            <w:right w:val="none" w:sz="0" w:space="0" w:color="auto"/>
          </w:divBdr>
        </w:div>
      </w:divsChild>
    </w:div>
    <w:div w:id="1520392352">
      <w:bodyDiv w:val="1"/>
      <w:marLeft w:val="0"/>
      <w:marRight w:val="0"/>
      <w:marTop w:val="0"/>
      <w:marBottom w:val="0"/>
      <w:divBdr>
        <w:top w:val="none" w:sz="0" w:space="0" w:color="auto"/>
        <w:left w:val="none" w:sz="0" w:space="0" w:color="auto"/>
        <w:bottom w:val="none" w:sz="0" w:space="0" w:color="auto"/>
        <w:right w:val="none" w:sz="0" w:space="0" w:color="auto"/>
      </w:divBdr>
    </w:div>
    <w:div w:id="1600062004">
      <w:bodyDiv w:val="1"/>
      <w:marLeft w:val="0"/>
      <w:marRight w:val="0"/>
      <w:marTop w:val="0"/>
      <w:marBottom w:val="0"/>
      <w:divBdr>
        <w:top w:val="none" w:sz="0" w:space="0" w:color="auto"/>
        <w:left w:val="none" w:sz="0" w:space="0" w:color="auto"/>
        <w:bottom w:val="none" w:sz="0" w:space="0" w:color="auto"/>
        <w:right w:val="none" w:sz="0" w:space="0" w:color="auto"/>
      </w:divBdr>
    </w:div>
    <w:div w:id="1803384317">
      <w:bodyDiv w:val="1"/>
      <w:marLeft w:val="0"/>
      <w:marRight w:val="0"/>
      <w:marTop w:val="0"/>
      <w:marBottom w:val="0"/>
      <w:divBdr>
        <w:top w:val="none" w:sz="0" w:space="0" w:color="auto"/>
        <w:left w:val="none" w:sz="0" w:space="0" w:color="auto"/>
        <w:bottom w:val="none" w:sz="0" w:space="0" w:color="auto"/>
        <w:right w:val="none" w:sz="0" w:space="0" w:color="auto"/>
      </w:divBdr>
    </w:div>
    <w:div w:id="1831409382">
      <w:bodyDiv w:val="1"/>
      <w:marLeft w:val="0"/>
      <w:marRight w:val="0"/>
      <w:marTop w:val="0"/>
      <w:marBottom w:val="0"/>
      <w:divBdr>
        <w:top w:val="none" w:sz="0" w:space="0" w:color="auto"/>
        <w:left w:val="none" w:sz="0" w:space="0" w:color="auto"/>
        <w:bottom w:val="none" w:sz="0" w:space="0" w:color="auto"/>
        <w:right w:val="none" w:sz="0" w:space="0" w:color="auto"/>
      </w:divBdr>
    </w:div>
    <w:div w:id="209185399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trics.ekt.gr"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metrics.ekt.gr/el/node/352" TargetMode="External"/><Relationship Id="rId17" Type="http://schemas.openxmlformats.org/officeDocument/2006/relationships/image" Target="media/image3.jp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rics.ekt.g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kt.gr" TargetMode="External"/><Relationship Id="rId23" Type="http://schemas.openxmlformats.org/officeDocument/2006/relationships/footer" Target="footer2.xml"/><Relationship Id="rId10" Type="http://schemas.openxmlformats.org/officeDocument/2006/relationships/hyperlink" Target="http://metrics.ekt.gr/el/node/352"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kt.g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42E3C-6520-42C9-BD22-1F32CE8F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971</Words>
  <Characters>5966</Characters>
  <Application>Microsoft Office Word</Application>
  <DocSecurity>0</DocSecurity>
  <Lines>49</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EKT</Company>
  <LinksUpToDate>false</LinksUpToDate>
  <CharactersWithSpaces>6924</CharactersWithSpaces>
  <SharedDoc>false</SharedDoc>
  <HLinks>
    <vt:vector size="90" baseType="variant">
      <vt:variant>
        <vt:i4>6226001</vt:i4>
      </vt:variant>
      <vt:variant>
        <vt:i4>42</vt:i4>
      </vt:variant>
      <vt:variant>
        <vt:i4>0</vt:i4>
      </vt:variant>
      <vt:variant>
        <vt:i4>5</vt:i4>
      </vt:variant>
      <vt:variant>
        <vt:lpwstr>http://metrics.ekt.gr/statistika-etak/datatables</vt:lpwstr>
      </vt:variant>
      <vt:variant>
        <vt:lpwstr/>
      </vt:variant>
      <vt:variant>
        <vt:i4>6226001</vt:i4>
      </vt:variant>
      <vt:variant>
        <vt:i4>39</vt:i4>
      </vt:variant>
      <vt:variant>
        <vt:i4>0</vt:i4>
      </vt:variant>
      <vt:variant>
        <vt:i4>5</vt:i4>
      </vt:variant>
      <vt:variant>
        <vt:lpwstr>http://metrics.ekt.gr/statistika-etak/datatables</vt:lpwstr>
      </vt:variant>
      <vt:variant>
        <vt:lpwstr/>
      </vt:variant>
      <vt:variant>
        <vt:i4>6226001</vt:i4>
      </vt:variant>
      <vt:variant>
        <vt:i4>36</vt:i4>
      </vt:variant>
      <vt:variant>
        <vt:i4>0</vt:i4>
      </vt:variant>
      <vt:variant>
        <vt:i4>5</vt:i4>
      </vt:variant>
      <vt:variant>
        <vt:lpwstr>http://metrics.ekt.gr/statistika-etak/datatables</vt:lpwstr>
      </vt:variant>
      <vt:variant>
        <vt:lpwstr/>
      </vt:variant>
      <vt:variant>
        <vt:i4>6226001</vt:i4>
      </vt:variant>
      <vt:variant>
        <vt:i4>33</vt:i4>
      </vt:variant>
      <vt:variant>
        <vt:i4>0</vt:i4>
      </vt:variant>
      <vt:variant>
        <vt:i4>5</vt:i4>
      </vt:variant>
      <vt:variant>
        <vt:lpwstr>http://metrics.ekt.gr/statistika-etak/datatables</vt:lpwstr>
      </vt:variant>
      <vt:variant>
        <vt:lpwstr/>
      </vt:variant>
      <vt:variant>
        <vt:i4>6226001</vt:i4>
      </vt:variant>
      <vt:variant>
        <vt:i4>30</vt:i4>
      </vt:variant>
      <vt:variant>
        <vt:i4>0</vt:i4>
      </vt:variant>
      <vt:variant>
        <vt:i4>5</vt:i4>
      </vt:variant>
      <vt:variant>
        <vt:lpwstr>http://metrics.ekt.gr/statistika-etak/datatables</vt:lpwstr>
      </vt:variant>
      <vt:variant>
        <vt:lpwstr/>
      </vt:variant>
      <vt:variant>
        <vt:i4>6226001</vt:i4>
      </vt:variant>
      <vt:variant>
        <vt:i4>27</vt:i4>
      </vt:variant>
      <vt:variant>
        <vt:i4>0</vt:i4>
      </vt:variant>
      <vt:variant>
        <vt:i4>5</vt:i4>
      </vt:variant>
      <vt:variant>
        <vt:lpwstr>http://metrics.ekt.gr/statistika-etak/datatables</vt:lpwstr>
      </vt:variant>
      <vt:variant>
        <vt:lpwstr/>
      </vt:variant>
      <vt:variant>
        <vt:i4>6226001</vt:i4>
      </vt:variant>
      <vt:variant>
        <vt:i4>24</vt:i4>
      </vt:variant>
      <vt:variant>
        <vt:i4>0</vt:i4>
      </vt:variant>
      <vt:variant>
        <vt:i4>5</vt:i4>
      </vt:variant>
      <vt:variant>
        <vt:lpwstr>http://metrics.ekt.gr/statistika-etak/datatables</vt:lpwstr>
      </vt:variant>
      <vt:variant>
        <vt:lpwstr/>
      </vt:variant>
      <vt:variant>
        <vt:i4>6226001</vt:i4>
      </vt:variant>
      <vt:variant>
        <vt:i4>21</vt:i4>
      </vt:variant>
      <vt:variant>
        <vt:i4>0</vt:i4>
      </vt:variant>
      <vt:variant>
        <vt:i4>5</vt:i4>
      </vt:variant>
      <vt:variant>
        <vt:lpwstr>http://metrics.ekt.gr/statistika-etak/datatables</vt:lpwstr>
      </vt:variant>
      <vt:variant>
        <vt:lpwstr/>
      </vt:variant>
      <vt:variant>
        <vt:i4>6226001</vt:i4>
      </vt:variant>
      <vt:variant>
        <vt:i4>18</vt:i4>
      </vt:variant>
      <vt:variant>
        <vt:i4>0</vt:i4>
      </vt:variant>
      <vt:variant>
        <vt:i4>5</vt:i4>
      </vt:variant>
      <vt:variant>
        <vt:lpwstr>http://metrics.ekt.gr/statistika-etak/datatables</vt:lpwstr>
      </vt:variant>
      <vt:variant>
        <vt:lpwstr/>
      </vt:variant>
      <vt:variant>
        <vt:i4>7471207</vt:i4>
      </vt:variant>
      <vt:variant>
        <vt:i4>15</vt:i4>
      </vt:variant>
      <vt:variant>
        <vt:i4>0</vt:i4>
      </vt:variant>
      <vt:variant>
        <vt:i4>5</vt:i4>
      </vt:variant>
      <vt:variant>
        <vt:lpwstr>http://www.ekt.gr/</vt:lpwstr>
      </vt:variant>
      <vt:variant>
        <vt:lpwstr/>
      </vt:variant>
      <vt:variant>
        <vt:i4>7471207</vt:i4>
      </vt:variant>
      <vt:variant>
        <vt:i4>12</vt:i4>
      </vt:variant>
      <vt:variant>
        <vt:i4>0</vt:i4>
      </vt:variant>
      <vt:variant>
        <vt:i4>5</vt:i4>
      </vt:variant>
      <vt:variant>
        <vt:lpwstr>http://www.ekt.gr/</vt:lpwstr>
      </vt:variant>
      <vt:variant>
        <vt:lpwstr/>
      </vt:variant>
      <vt:variant>
        <vt:i4>7405668</vt:i4>
      </vt:variant>
      <vt:variant>
        <vt:i4>9</vt:i4>
      </vt:variant>
      <vt:variant>
        <vt:i4>0</vt:i4>
      </vt:variant>
      <vt:variant>
        <vt:i4>5</vt:i4>
      </vt:variant>
      <vt:variant>
        <vt:lpwstr>http://metrics.ekt.gr/</vt:lpwstr>
      </vt:variant>
      <vt:variant>
        <vt:lpwstr/>
      </vt:variant>
      <vt:variant>
        <vt:i4>786455</vt:i4>
      </vt:variant>
      <vt:variant>
        <vt:i4>6</vt:i4>
      </vt:variant>
      <vt:variant>
        <vt:i4>0</vt:i4>
      </vt:variant>
      <vt:variant>
        <vt:i4>5</vt:i4>
      </vt:variant>
      <vt:variant>
        <vt:lpwstr>http://metrics.ekt.gr/el/node/346</vt:lpwstr>
      </vt:variant>
      <vt:variant>
        <vt:lpwstr/>
      </vt:variant>
      <vt:variant>
        <vt:i4>7405668</vt:i4>
      </vt:variant>
      <vt:variant>
        <vt:i4>3</vt:i4>
      </vt:variant>
      <vt:variant>
        <vt:i4>0</vt:i4>
      </vt:variant>
      <vt:variant>
        <vt:i4>5</vt:i4>
      </vt:variant>
      <vt:variant>
        <vt:lpwstr>http://metrics.ekt.gr/</vt:lpwstr>
      </vt:variant>
      <vt:variant>
        <vt:lpwstr/>
      </vt:variant>
      <vt:variant>
        <vt:i4>786455</vt:i4>
      </vt:variant>
      <vt:variant>
        <vt:i4>0</vt:i4>
      </vt:variant>
      <vt:variant>
        <vt:i4>0</vt:i4>
      </vt:variant>
      <vt:variant>
        <vt:i4>5</vt:i4>
      </vt:variant>
      <vt:variant>
        <vt:lpwstr>http://metrics.ekt.gr/el/node/346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Μαργαρίτης Προέδρου</dc:creator>
  <cp:keywords/>
  <cp:lastModifiedBy>Μαργαρίτης Προέδρου</cp:lastModifiedBy>
  <cp:revision>16</cp:revision>
  <cp:lastPrinted>2018-02-26T13:14:00Z</cp:lastPrinted>
  <dcterms:created xsi:type="dcterms:W3CDTF">2018-02-23T10:39:00Z</dcterms:created>
  <dcterms:modified xsi:type="dcterms:W3CDTF">2018-02-26T14:17:00Z</dcterms:modified>
</cp:coreProperties>
</file>