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0547" w14:textId="77777777" w:rsidR="00261937" w:rsidRDefault="00261937" w:rsidP="0043429D">
      <w:pPr>
        <w:spacing w:after="0" w:line="240" w:lineRule="auto"/>
        <w:jc w:val="center"/>
        <w:rPr>
          <w:rFonts w:cstheme="majorHAnsi"/>
          <w:b/>
          <w:color w:val="262626" w:themeColor="text1" w:themeTint="D9"/>
          <w:sz w:val="28"/>
          <w:lang w:val="el-GR"/>
        </w:rPr>
      </w:pPr>
      <w:r w:rsidRPr="00261937">
        <w:rPr>
          <w:rFonts w:cstheme="majorHAnsi"/>
          <w:b/>
          <w:color w:val="262626" w:themeColor="text1" w:themeTint="D9"/>
          <w:sz w:val="28"/>
          <w:lang w:val="el-GR"/>
        </w:rPr>
        <w:t xml:space="preserve">Νέα εποχή για τις ελληνικές βιβλιοθήκες: Το ΕΚΤ παρουσιάζει </w:t>
      </w:r>
    </w:p>
    <w:p w14:paraId="116A7003" w14:textId="35EED22D" w:rsidR="00261937" w:rsidRDefault="00261937" w:rsidP="0043429D">
      <w:pPr>
        <w:spacing w:after="0" w:line="240" w:lineRule="auto"/>
        <w:jc w:val="center"/>
        <w:rPr>
          <w:rFonts w:cstheme="majorHAnsi"/>
          <w:b/>
          <w:color w:val="262626" w:themeColor="text1" w:themeTint="D9"/>
          <w:sz w:val="28"/>
          <w:lang w:val="el-GR"/>
        </w:rPr>
      </w:pPr>
      <w:r w:rsidRPr="00261937">
        <w:rPr>
          <w:rFonts w:cstheme="majorHAnsi"/>
          <w:b/>
          <w:color w:val="262626" w:themeColor="text1" w:themeTint="D9"/>
          <w:sz w:val="28"/>
          <w:lang w:val="el-GR"/>
        </w:rPr>
        <w:t xml:space="preserve">το αναβαθμισμένο </w:t>
      </w:r>
      <w:r w:rsidR="00352A12" w:rsidRPr="00352A12">
        <w:rPr>
          <w:rFonts w:cstheme="majorHAnsi"/>
          <w:b/>
          <w:color w:val="262626" w:themeColor="text1" w:themeTint="D9"/>
          <w:sz w:val="28"/>
          <w:lang w:val="el-GR"/>
        </w:rPr>
        <w:t>OpenABEKT</w:t>
      </w:r>
    </w:p>
    <w:p w14:paraId="2AA2FC75" w14:textId="69C7DA99" w:rsidR="00261937" w:rsidRDefault="00261937" w:rsidP="00261937">
      <w:pPr>
        <w:spacing w:before="80" w:after="120" w:line="280" w:lineRule="atLeast"/>
        <w:jc w:val="center"/>
        <w:rPr>
          <w:rFonts w:cstheme="majorHAnsi"/>
          <w:bCs/>
          <w:color w:val="262626" w:themeColor="text1" w:themeTint="D9"/>
          <w:sz w:val="28"/>
          <w:szCs w:val="20"/>
          <w:lang w:val="el-GR"/>
        </w:rPr>
      </w:pPr>
      <w:r w:rsidRPr="00261937">
        <w:rPr>
          <w:rFonts w:cstheme="majorHAnsi"/>
          <w:bCs/>
          <w:color w:val="262626" w:themeColor="text1" w:themeTint="D9"/>
          <w:sz w:val="28"/>
          <w:szCs w:val="20"/>
          <w:lang w:val="el-GR"/>
        </w:rPr>
        <w:t xml:space="preserve">Μέσα από το νέο περιβάλλον </w:t>
      </w:r>
      <w:r w:rsidR="00352A12">
        <w:rPr>
          <w:rFonts w:cstheme="majorHAnsi"/>
          <w:bCs/>
          <w:color w:val="262626" w:themeColor="text1" w:themeTint="D9"/>
          <w:sz w:val="28"/>
          <w:szCs w:val="20"/>
        </w:rPr>
        <w:t>WorkFun</w:t>
      </w:r>
      <w:r w:rsidR="00352A12" w:rsidRPr="00352A12">
        <w:rPr>
          <w:rFonts w:cstheme="majorHAnsi"/>
          <w:bCs/>
          <w:color w:val="262626" w:themeColor="text1" w:themeTint="D9"/>
          <w:sz w:val="28"/>
          <w:szCs w:val="20"/>
          <w:lang w:val="el-GR"/>
        </w:rPr>
        <w:t>+</w:t>
      </w:r>
      <w:r w:rsidRPr="00261937">
        <w:rPr>
          <w:rFonts w:cstheme="majorHAnsi"/>
          <w:bCs/>
          <w:color w:val="262626" w:themeColor="text1" w:themeTint="D9"/>
          <w:sz w:val="28"/>
          <w:szCs w:val="20"/>
          <w:lang w:val="el-GR"/>
        </w:rPr>
        <w:t>, εκατοντάδες βιβλιοθήκες και οργανισμοί σε όλη τη χώρα αποκτούν πρόσβαση σε προηγμένα ψηφιακά εργαλεία οργάνωσης και επικοινωνίας</w:t>
      </w:r>
    </w:p>
    <w:p w14:paraId="6277AAD4" w14:textId="23F06EC4" w:rsidR="00261937" w:rsidRPr="00261937" w:rsidRDefault="00261937" w:rsidP="00261937">
      <w:pPr>
        <w:spacing w:before="80" w:after="120" w:line="280" w:lineRule="atLeast"/>
        <w:jc w:val="both"/>
        <w:rPr>
          <w:lang w:val="el-GR"/>
        </w:rPr>
      </w:pPr>
      <w:r w:rsidRPr="00261937">
        <w:rPr>
          <w:lang w:val="el-GR"/>
        </w:rPr>
        <w:t>Το Εθνικό Κέντρο Τεκμηρίωσης και Ηλεκτρονικού Περιεχομένου (ΕΚΤ) αναβαθμίζει την εμβληματική υπηρεσία νέφους OpenABEKT, καθιστώντας τη διαχείριση καταλόγου και λειτουργιών βιβλιοθήκης ακόμη πιο απλή και αποτελεσματική για τους χρήστες. Το νέο, φιλικό περιβάλλον εργασίας, που αναπτύχθηκε σε συνεργασία με το Ινστιτούτο Πληροφορικής του ΙΤΕ, ενσωματώνει προηγμένα τεχνολογικά πρότυπα, εξασφαλίζοντας ότι οι ελληνικές βιβλιοθήκες διαθέτουν σήμερα ένα σύγχρονο εργαλείο για τον ψηφιακό μετασχηματισμό τους.</w:t>
      </w:r>
    </w:p>
    <w:p w14:paraId="19394418" w14:textId="43369121" w:rsidR="00261937" w:rsidRPr="00261937" w:rsidRDefault="00261937" w:rsidP="00261937">
      <w:pPr>
        <w:spacing w:before="80" w:after="120" w:line="280" w:lineRule="atLeast"/>
        <w:jc w:val="both"/>
        <w:rPr>
          <w:lang w:val="el-GR"/>
        </w:rPr>
      </w:pPr>
      <w:r w:rsidRPr="00261937">
        <w:rPr>
          <w:lang w:val="el-GR"/>
        </w:rPr>
        <w:t>Το αναβαθμισμένο OpenABEKT (</w:t>
      </w:r>
      <w:hyperlink r:id="rId11" w:history="1">
        <w:r w:rsidR="00E31AFD" w:rsidRPr="003613E3">
          <w:rPr>
            <w:rStyle w:val="Hyperlink"/>
            <w:lang w:val="el-GR"/>
          </w:rPr>
          <w:t>www.openabekt.gr</w:t>
        </w:r>
      </w:hyperlink>
      <w:r w:rsidRPr="00261937">
        <w:rPr>
          <w:lang w:val="el-GR"/>
        </w:rPr>
        <w:t>) ανταποκρίνεται στις μεταβαλλόμενες ανάγκες των βιβλιοθηκών, προσφέροντας αυξημένες δυνατότητες συντήρησης και επέκτασης. Το ΕΚΤ, υποστηρίζοντας συστηματικά τις ελληνικές βιβλιοθήκες για περισσότερες από τρεις δεκαετίες, παρέχει μια ολοκληρωμένη υπηρεσία που απευθύνεται σε φορείς εκπαίδευσης, έρευνας, επιστήμης, πολιτισμού και δημόσιας διοίκησης, ενισχύοντας τη συνεργασία τους.</w:t>
      </w:r>
    </w:p>
    <w:p w14:paraId="2C4731C7" w14:textId="77777777" w:rsidR="00261937" w:rsidRPr="00261937" w:rsidRDefault="00261937" w:rsidP="00261937">
      <w:pPr>
        <w:spacing w:before="80" w:after="120" w:line="280" w:lineRule="atLeast"/>
        <w:jc w:val="both"/>
        <w:rPr>
          <w:lang w:val="el-GR"/>
        </w:rPr>
      </w:pPr>
      <w:r w:rsidRPr="00261937">
        <w:rPr>
          <w:lang w:val="el-GR"/>
        </w:rPr>
        <w:t xml:space="preserve">Με στόχο τη βελτίωση της καθημερινής λειτουργίας και την αποδοτικότερη διαχείριση των ροών εργασίας, το ΕΚΤ αναβάθμισε το περιβάλλον «Ροές και Λειτουργίες» της υπηρεσίας OpenABEKT, παρέχοντας στις βιβλιοθήκες το νέο WorkFun+. Πρόκειται για την εφαρμογή μέσω της οποίας οι βιβλιοθήκες διαχειρίζονται τα αντίτυπα, τον κατάλογο μελών, τις συναλλαγές και τα στατιστικά δεδομένα τους. </w:t>
      </w:r>
    </w:p>
    <w:p w14:paraId="2EDF9989" w14:textId="77777777" w:rsidR="00261937" w:rsidRPr="00261937" w:rsidRDefault="00261937" w:rsidP="00261937">
      <w:pPr>
        <w:spacing w:before="80" w:after="120" w:line="280" w:lineRule="atLeast"/>
        <w:jc w:val="both"/>
        <w:rPr>
          <w:lang w:val="el-GR"/>
        </w:rPr>
      </w:pPr>
      <w:r w:rsidRPr="00261937">
        <w:rPr>
          <w:lang w:val="el-GR"/>
        </w:rPr>
        <w:t>Στο ανανεωμένο αυτό περιβάλλον, οι πιστοποιημένοι χρήστες αξιοποιούν τόσο τις προϋπάρχουσες δυνατότητες όσο και νέες λειτουργίες που συντελούν στην αποδοτικότερη οργάνωση των εργασιών τους. Ενδεικτικά, στις νέες δυνατότητες που παρέχονται πλέον σε κάθε βιβλιοθήκη περιλαμβάνονται:</w:t>
      </w:r>
    </w:p>
    <w:p w14:paraId="5311F6FB" w14:textId="349A919F" w:rsidR="00261937" w:rsidRPr="00261937" w:rsidRDefault="00261937" w:rsidP="00261937">
      <w:pPr>
        <w:pStyle w:val="ListParagraph"/>
        <w:numPr>
          <w:ilvl w:val="0"/>
          <w:numId w:val="4"/>
        </w:numPr>
        <w:spacing w:before="80" w:after="120" w:line="280" w:lineRule="atLeast"/>
        <w:ind w:left="284" w:hanging="284"/>
        <w:jc w:val="both"/>
      </w:pPr>
      <w:r w:rsidRPr="00261937">
        <w:t>Διαβάθμιση Ρόλων: Διάκριση χρηστών σε Manager (με διευρυμένες αρμοδιότητες συνολικής διαχείρισης) και Librarian.</w:t>
      </w:r>
    </w:p>
    <w:p w14:paraId="733CEFB2" w14:textId="4831D55F" w:rsidR="00261937" w:rsidRPr="00261937" w:rsidRDefault="00261937" w:rsidP="00261937">
      <w:pPr>
        <w:pStyle w:val="ListParagraph"/>
        <w:numPr>
          <w:ilvl w:val="0"/>
          <w:numId w:val="4"/>
        </w:numPr>
        <w:spacing w:before="80" w:after="120" w:line="280" w:lineRule="atLeast"/>
        <w:ind w:left="284" w:hanging="284"/>
        <w:jc w:val="both"/>
      </w:pPr>
      <w:r w:rsidRPr="00261937">
        <w:t>Σύνθετα Στατιστικά: Εξαγωγή χρήσιμων στατιστικών δεδομένων με ποικιλία φίλτρων και παραμετροποίηση νέων κατηγοριών.</w:t>
      </w:r>
    </w:p>
    <w:p w14:paraId="03C46AD1" w14:textId="7B8EAB5A" w:rsidR="00261937" w:rsidRPr="00261937" w:rsidRDefault="00261937" w:rsidP="00261937">
      <w:pPr>
        <w:pStyle w:val="ListParagraph"/>
        <w:numPr>
          <w:ilvl w:val="0"/>
          <w:numId w:val="4"/>
        </w:numPr>
        <w:spacing w:before="80" w:after="120" w:line="280" w:lineRule="atLeast"/>
        <w:ind w:left="284" w:hanging="284"/>
        <w:jc w:val="both"/>
      </w:pPr>
      <w:r w:rsidRPr="00261937">
        <w:t>Στοχευμένη Επικοινωνία: Μαζική και εστιασμένη αποστολή ηλεκτρονικών μηνυμάτων (email) στα μέλη της βιβλιοθήκης και πλήρης καταγραφή ιστορικού επικοινωνίας ανά συναλλαγή.</w:t>
      </w:r>
    </w:p>
    <w:p w14:paraId="21427DD0" w14:textId="2486FD25" w:rsidR="00261937" w:rsidRPr="00261937" w:rsidRDefault="00261937" w:rsidP="00261937">
      <w:pPr>
        <w:pStyle w:val="ListParagraph"/>
        <w:numPr>
          <w:ilvl w:val="0"/>
          <w:numId w:val="4"/>
        </w:numPr>
        <w:spacing w:before="80" w:after="120" w:line="280" w:lineRule="atLeast"/>
        <w:ind w:left="284" w:hanging="284"/>
        <w:jc w:val="both"/>
      </w:pPr>
      <w:r w:rsidRPr="00261937">
        <w:t>Βελτιστοποίηση Δεδομένων: Εμπλουτισμός υφιστάμενων πεδίων για την υποστήριξη της καθημερινής εργασίας και την πρόληψη σφαλμάτων.</w:t>
      </w:r>
    </w:p>
    <w:p w14:paraId="76ABF5BD" w14:textId="77777777" w:rsidR="00261937" w:rsidRPr="00261937" w:rsidRDefault="00261937" w:rsidP="00261937">
      <w:pPr>
        <w:spacing w:before="80" w:after="120" w:line="280" w:lineRule="atLeast"/>
        <w:jc w:val="both"/>
        <w:rPr>
          <w:lang w:val="el-GR"/>
        </w:rPr>
      </w:pPr>
      <w:r w:rsidRPr="00261937">
        <w:rPr>
          <w:lang w:val="el-GR"/>
        </w:rPr>
        <w:t>Το WorkFun+ χρησιμοποιήθηκε ήδη δοκιμαστικά από βιβλιοθήκες, η ανατροφοδότηση των οποίων οδήγησε σε περαιτέρω βελτιστοποιήσεις. Η μετάβαση στη νέα αυτή εφαρμογή αποτελεί μέρος της διαχρονικής στρατηγικής του ΕΚΤ για την παροχή ολοκληρωμένων λύσεων υψηλών προδιαγραφών. Με σταθερή δέσμευση στην καινοτομία, το ΕΚΤ συνεχίζει να προσφέρει μια υποδομή διαχείρισης γνώσης, που μειώνει το διαχειριστικό κόστος και επιτρέπει στις βιβλιοθήκες να επικεντρωθούν στην ουσιαστική ανάδειξη του περιεχομένου τους και την παροχή σύγχρονων υπηρεσιών προς τους αναγνώστες.</w:t>
      </w:r>
    </w:p>
    <w:p w14:paraId="35380116" w14:textId="77777777" w:rsidR="00261937" w:rsidRDefault="00261937" w:rsidP="00261937">
      <w:pPr>
        <w:spacing w:before="80" w:after="120" w:line="280" w:lineRule="atLeast"/>
        <w:jc w:val="both"/>
        <w:rPr>
          <w:b/>
          <w:lang w:val="el-GR"/>
        </w:rPr>
      </w:pPr>
    </w:p>
    <w:p w14:paraId="35945EAF" w14:textId="77777777" w:rsidR="00261937" w:rsidRDefault="00261937" w:rsidP="00261937">
      <w:pPr>
        <w:spacing w:before="80" w:after="120" w:line="280" w:lineRule="atLeast"/>
        <w:jc w:val="both"/>
        <w:rPr>
          <w:b/>
          <w:lang w:val="el-GR"/>
        </w:rPr>
      </w:pPr>
    </w:p>
    <w:p w14:paraId="04139B8F" w14:textId="408E7E69" w:rsidR="00261937" w:rsidRPr="00261937" w:rsidRDefault="00261937" w:rsidP="00261937">
      <w:pPr>
        <w:spacing w:before="80" w:after="120" w:line="280" w:lineRule="atLeast"/>
        <w:jc w:val="both"/>
        <w:rPr>
          <w:b/>
          <w:sz w:val="24"/>
          <w:lang w:val="el-GR"/>
        </w:rPr>
      </w:pPr>
      <w:r w:rsidRPr="00261937">
        <w:rPr>
          <w:b/>
          <w:sz w:val="24"/>
          <w:lang w:val="el-GR"/>
        </w:rPr>
        <w:lastRenderedPageBreak/>
        <w:t>OpenABEKT: Μια σύγχρονη υπηρεσία για τη διαχείριση καταλόγου και λειτουργιών βιβλιοθήκης</w:t>
      </w:r>
    </w:p>
    <w:p w14:paraId="5B78DD88" w14:textId="10026ADF" w:rsidR="00261937" w:rsidRPr="00261937" w:rsidRDefault="00261937" w:rsidP="00261937">
      <w:pPr>
        <w:spacing w:before="80" w:after="120" w:line="280" w:lineRule="atLeast"/>
        <w:jc w:val="both"/>
        <w:rPr>
          <w:lang w:val="el-GR"/>
        </w:rPr>
      </w:pPr>
      <w:r w:rsidRPr="00261937">
        <w:rPr>
          <w:lang w:val="el-GR"/>
        </w:rPr>
        <w:t>Από το 1987, το ΕΚΤ παρακολουθεί συστηματικά τις ανάγκες των ελληνικών βιβλιοθηκών και προσφέρει σύγχρονες λύσεις, συμβάλλοντας καθοριστικά στην ευρεία κυκλοφορία της γνώσης. H ολοκληρωμένη υπηρεσία νέφους ΟpenABEKT (</w:t>
      </w:r>
      <w:hyperlink r:id="rId12" w:history="1">
        <w:r w:rsidR="005D6E58" w:rsidRPr="003613E3">
          <w:rPr>
            <w:rStyle w:val="Hyperlink"/>
            <w:lang w:val="el-GR"/>
          </w:rPr>
          <w:t>www.openabekt.gr</w:t>
        </w:r>
      </w:hyperlink>
      <w:r w:rsidRPr="00261937">
        <w:rPr>
          <w:lang w:val="el-GR"/>
        </w:rPr>
        <w:t>) για τη διαχείριση καταλόγου και λειτουργιών βιβλιοθήκης αποτελεί μετεξέλιξη του λογισμικού ABEKT (Αυτοματισμός Βιβλιοθηκών ΕΚΤ), μιας εμβληματικής υπηρεσίας του ΕΚΤ η οποία έπαιξε καθοριστικό ρόλο στην ψηφιακή μετάβαση των ελληνικών βιβλιοθηκών.</w:t>
      </w:r>
    </w:p>
    <w:p w14:paraId="587FCDF3" w14:textId="1599B357" w:rsidR="00261937" w:rsidRPr="00261937" w:rsidRDefault="00261937" w:rsidP="00261937">
      <w:pPr>
        <w:spacing w:before="80" w:after="120" w:line="280" w:lineRule="atLeast"/>
        <w:jc w:val="both"/>
        <w:rPr>
          <w:lang w:val="el-GR"/>
        </w:rPr>
      </w:pPr>
      <w:r w:rsidRPr="00261937">
        <w:rPr>
          <w:lang w:val="el-GR"/>
        </w:rPr>
        <w:t xml:space="preserve">Η υπηρεσία OpenABEKT παρέχεται, από το 2017, ως διαδικτυακή υπηρεσία Software as a Service (SaaS) και απευθύνεται σε ένα ευρύ δίκτυο φορέων, όπως: δημοτικές βιβλιοθήκες, βιβλιοθήκες σχολείων, AEI, ερευνητικών κέντρων, μουσείων, πολιτιστικών οργανισμών, νοσοκομείων και φορέων δημόσιας διοίκησης (περισσότερες από 175 ενεργές συμβάσεις). Ο Ενιαίος Κατάλογος OpenABEKT παρέχει άμεση πρόσβαση στο περιεχόμενο όλων των συνεργαζόμενων βιβλιοθηκών, σε περισσότερες από 3.800.000 εγγραφές, στη διεύθυνση: </w:t>
      </w:r>
      <w:hyperlink r:id="rId13" w:history="1">
        <w:r w:rsidR="005D6E58" w:rsidRPr="003613E3">
          <w:rPr>
            <w:rStyle w:val="Hyperlink"/>
            <w:lang w:val="el-GR"/>
          </w:rPr>
          <w:t>https://catalogue.openabekt.gr</w:t>
        </w:r>
      </w:hyperlink>
      <w:r w:rsidRPr="00261937">
        <w:rPr>
          <w:lang w:val="el-GR"/>
        </w:rPr>
        <w:t>.</w:t>
      </w:r>
    </w:p>
    <w:p w14:paraId="173B6881" w14:textId="77777777" w:rsidR="00261937" w:rsidRPr="00261937" w:rsidRDefault="00261937" w:rsidP="00261937">
      <w:pPr>
        <w:spacing w:before="80" w:after="120" w:line="280" w:lineRule="atLeast"/>
        <w:jc w:val="both"/>
        <w:rPr>
          <w:lang w:val="el-GR"/>
        </w:rPr>
      </w:pPr>
      <w:r w:rsidRPr="00261937">
        <w:rPr>
          <w:lang w:val="el-GR"/>
        </w:rPr>
        <w:t xml:space="preserve">Η υπηρεσία OpenABEKT αποτελείται από τρία περιβάλλοντα που διαλειτουργούν μεταξύ τους. </w:t>
      </w:r>
    </w:p>
    <w:p w14:paraId="5D24C8FF" w14:textId="4BC7A92A" w:rsidR="00261937" w:rsidRPr="00261937" w:rsidRDefault="00261937" w:rsidP="00261937">
      <w:pPr>
        <w:pStyle w:val="ListParagraph"/>
        <w:numPr>
          <w:ilvl w:val="0"/>
          <w:numId w:val="4"/>
        </w:numPr>
        <w:spacing w:before="80" w:after="120" w:line="280" w:lineRule="atLeast"/>
        <w:ind w:left="284" w:hanging="284"/>
        <w:jc w:val="both"/>
      </w:pPr>
      <w:r w:rsidRPr="00261937">
        <w:t xml:space="preserve">Το περιβάλλον "Κατάλογος" απευθύνεται στους πιστοποιημένους χρήστες κάθε φορέα και υποστηρίζει την τεκμηρίωση (καταλογογράφηση) και τη διαχείριση των συλλογών και του περιεχομένου του. </w:t>
      </w:r>
    </w:p>
    <w:p w14:paraId="673FB7F3" w14:textId="27528FEF" w:rsidR="00261937" w:rsidRPr="00261937" w:rsidRDefault="00261937" w:rsidP="00261937">
      <w:pPr>
        <w:pStyle w:val="ListParagraph"/>
        <w:numPr>
          <w:ilvl w:val="0"/>
          <w:numId w:val="4"/>
        </w:numPr>
        <w:spacing w:before="80" w:after="120" w:line="280" w:lineRule="atLeast"/>
        <w:ind w:left="284" w:hanging="284"/>
        <w:jc w:val="both"/>
      </w:pPr>
      <w:r w:rsidRPr="00261937">
        <w:t xml:space="preserve">Το περιβάλλον "Ροές και Λειτουργίες" είναι προσβάσιμο στους εξουσιοδοτημένους χρήστες και υποστηρίζει εργασίες που αφορούν τη διαχείριση των μελών μιας βιβλιοθήκης, τις συναλλαγές τους με τον φορέα, την παραγγελία αντιτύπων και τευχών, την αποστολή ενημερώσεων, την εξαγωγή αναφορών και στατιστικών κ.ά. </w:t>
      </w:r>
    </w:p>
    <w:p w14:paraId="1280D2E7" w14:textId="21CAB7FF" w:rsidR="00261937" w:rsidRPr="00261937" w:rsidRDefault="00261937" w:rsidP="00261937">
      <w:pPr>
        <w:pStyle w:val="ListParagraph"/>
        <w:numPr>
          <w:ilvl w:val="0"/>
          <w:numId w:val="4"/>
        </w:numPr>
        <w:spacing w:before="80" w:after="120" w:line="280" w:lineRule="atLeast"/>
        <w:ind w:left="284" w:hanging="284"/>
        <w:jc w:val="both"/>
      </w:pPr>
      <w:r w:rsidRPr="00261937">
        <w:t>Το περιβάλλον "Ανακάλυψη" είναι δημόσια προσβάσιμο και μέσω αυτού παρουσιάζονται όλες οι διαθέσιμες συλλογές του φορέα στο κοινό.</w:t>
      </w:r>
    </w:p>
    <w:p w14:paraId="5002F490" w14:textId="77777777" w:rsidR="00261937" w:rsidRPr="00261937" w:rsidRDefault="00261937" w:rsidP="00261937">
      <w:pPr>
        <w:spacing w:before="80" w:after="120" w:line="280" w:lineRule="atLeast"/>
        <w:jc w:val="both"/>
        <w:rPr>
          <w:lang w:val="el-GR"/>
        </w:rPr>
      </w:pPr>
      <w:r w:rsidRPr="00261937">
        <w:rPr>
          <w:lang w:val="el-GR"/>
        </w:rPr>
        <w:t>Το περιεχόμενο και των τριών περιβαλλόντων τροφοδοτεί τον Ενιαίο Κατάλογο OpenABEKT, ο οποίος συγκεντρώνει, ευρετηριάζει και παρουσιάζει σε πραγματικό χρόνο, σε ένα ενιαίο περιβάλλον, τις εγγραφές όλων των φορέων και πληροφορίες για τα αντίτυπα. Ο Ενιαίος Κατάλογος παρέχει τη δυνατότητα ενιαίας αναζήτησης με τη χρήση πλήθους κριτηρίων και φίλτρων πολύπλευρης αναζήτησης. Παράλληλα, οι συνεργαζόμενες βιβλιοθήκες έχουν την ευκαιρία να αναδείξουν το περιεχόμενό τους και επωφελούνται από υπηρεσίες ανταλλαγής δεδομένων που μειώνουν δραστικά τον χρόνο και το κόστος της πρωτότυπης καταλογογράφησης.</w:t>
      </w:r>
    </w:p>
    <w:p w14:paraId="177A1DEB" w14:textId="70669D4E" w:rsidR="006B191C" w:rsidRPr="006B191C" w:rsidRDefault="00261937" w:rsidP="00261937">
      <w:pPr>
        <w:spacing w:before="80" w:after="120" w:line="280" w:lineRule="atLeast"/>
        <w:jc w:val="both"/>
        <w:rPr>
          <w:lang w:val="el-GR"/>
        </w:rPr>
      </w:pPr>
      <w:r w:rsidRPr="00261937">
        <w:rPr>
          <w:lang w:val="el-GR"/>
        </w:rPr>
        <w:t>Τις διάφορες εκδόσεις του ΑΒΕΚΤ και του OpenABEKT έχουν διαχρονικά προμηθευτεί περισσότερες από 2.700 βιβλιοθήκες, γεγονός που αναδεικνύει το ΕΚΤ ως τον φορέα με τη μεγαλύτερη τεχνογνωσία στη χώρα στη διάθεση υπηρεσιών προς βιβλιοθήκες.</w:t>
      </w:r>
      <w:bookmarkStart w:id="0" w:name="_GoBack"/>
      <w:bookmarkEnd w:id="0"/>
    </w:p>
    <w:p w14:paraId="6B9DB4CC" w14:textId="3B8C7371" w:rsidR="00261937" w:rsidRPr="00261937" w:rsidRDefault="0013453F" w:rsidP="00261937">
      <w:pPr>
        <w:spacing w:before="170"/>
        <w:rPr>
          <w:rFonts w:cstheme="minorHAnsi"/>
          <w:lang w:val="el-GR"/>
        </w:rPr>
      </w:pPr>
      <w:r>
        <w:rPr>
          <w:rFonts w:cstheme="majorHAnsi"/>
          <w:b/>
          <w:color w:val="262626" w:themeColor="text1" w:themeTint="D9"/>
          <w:sz w:val="24"/>
          <w:lang w:val="el-GR"/>
        </w:rPr>
        <w:t xml:space="preserve">Διευθύνσεις στο Διαδίκτυο </w:t>
      </w:r>
      <w:r>
        <w:rPr>
          <w:rFonts w:cstheme="minorHAnsi"/>
          <w:sz w:val="16"/>
          <w:szCs w:val="16"/>
          <w:lang w:val="el-GR"/>
        </w:rPr>
        <w:br/>
      </w:r>
      <w:r w:rsidR="00261937" w:rsidRPr="00261937">
        <w:rPr>
          <w:rFonts w:cstheme="minorHAnsi"/>
          <w:lang w:val="el-GR"/>
        </w:rPr>
        <w:t xml:space="preserve">OpenABEKT </w:t>
      </w:r>
      <w:r w:rsidR="00261937">
        <w:rPr>
          <w:rFonts w:cstheme="minorHAnsi"/>
          <w:lang w:val="el-GR"/>
        </w:rPr>
        <w:br/>
      </w:r>
      <w:hyperlink r:id="rId14" w:history="1">
        <w:r w:rsidR="00261937" w:rsidRPr="003613E3">
          <w:rPr>
            <w:rStyle w:val="Hyperlink"/>
            <w:rFonts w:cstheme="minorHAnsi"/>
            <w:lang w:val="el-GR"/>
          </w:rPr>
          <w:t>https://www.openabekt.gr</w:t>
        </w:r>
      </w:hyperlink>
      <w:r w:rsidR="00261937" w:rsidRPr="00261937">
        <w:rPr>
          <w:rFonts w:cstheme="minorHAnsi"/>
          <w:lang w:val="el-GR"/>
        </w:rPr>
        <w:t xml:space="preserve">  </w:t>
      </w:r>
    </w:p>
    <w:p w14:paraId="5DB9BB9F" w14:textId="04748566" w:rsidR="00CA6C05" w:rsidRDefault="00261937" w:rsidP="00261937">
      <w:pPr>
        <w:spacing w:before="170"/>
        <w:rPr>
          <w:rFonts w:cstheme="minorHAnsi"/>
          <w:lang w:val="el-GR"/>
        </w:rPr>
      </w:pPr>
      <w:r w:rsidRPr="00261937">
        <w:rPr>
          <w:rFonts w:cstheme="minorHAnsi"/>
          <w:lang w:val="el-GR"/>
        </w:rPr>
        <w:t>Ενιαίος Κατάλογος OpenABEKT</w:t>
      </w:r>
      <w:r>
        <w:rPr>
          <w:rFonts w:cstheme="minorHAnsi"/>
          <w:lang w:val="el-GR"/>
        </w:rPr>
        <w:br/>
      </w:r>
      <w:hyperlink r:id="rId15" w:history="1">
        <w:r w:rsidRPr="003613E3">
          <w:rPr>
            <w:rStyle w:val="Hyperlink"/>
            <w:rFonts w:cstheme="minorHAnsi"/>
            <w:lang w:val="el-GR"/>
          </w:rPr>
          <w:t>https://catalogue.openabekt.gr</w:t>
        </w:r>
      </w:hyperlink>
      <w:r w:rsidRPr="00261937">
        <w:rPr>
          <w:rFonts w:cstheme="minorHAnsi"/>
          <w:lang w:val="el-GR"/>
        </w:rPr>
        <w:t xml:space="preserve"> </w:t>
      </w:r>
      <w:r w:rsidR="00044A7D" w:rsidRPr="00044A7D">
        <w:rPr>
          <w:rFonts w:cstheme="minorHAnsi"/>
          <w:lang w:val="el-GR"/>
        </w:rPr>
        <w:t xml:space="preserve"> </w:t>
      </w:r>
    </w:p>
    <w:p w14:paraId="7E1FC21E" w14:textId="1E8CDE3D" w:rsidR="00EC3996" w:rsidRPr="00EC3996" w:rsidRDefault="009B0DF0" w:rsidP="00EC3996">
      <w:pPr>
        <w:spacing w:before="170"/>
        <w:rPr>
          <w:rFonts w:eastAsia="Batang" w:cstheme="majorHAnsi"/>
          <w:color w:val="0563C1" w:themeColor="hyperlink"/>
          <w:u w:val="single"/>
          <w:lang w:val="el-GR" w:eastAsia="el-GR"/>
        </w:rPr>
      </w:pPr>
      <w:r>
        <w:rPr>
          <w:rFonts w:cstheme="majorHAnsi"/>
          <w:b/>
          <w:color w:val="262626" w:themeColor="text1" w:themeTint="D9"/>
          <w:sz w:val="24"/>
          <w:lang w:val="el-GR"/>
        </w:rPr>
        <w:lastRenderedPageBreak/>
        <w:t>Επικοινωνία για δημοσιογράφους</w:t>
      </w:r>
      <w:r w:rsidR="00BF2CC5">
        <w:rPr>
          <w:rFonts w:cstheme="majorHAnsi"/>
          <w:b/>
          <w:color w:val="262626" w:themeColor="text1" w:themeTint="D9"/>
          <w:sz w:val="24"/>
          <w:lang w:val="el-GR"/>
        </w:rPr>
        <w:br/>
      </w:r>
      <w:r>
        <w:rPr>
          <w:rFonts w:cstheme="majorHAnsi"/>
          <w:color w:val="262626" w:themeColor="text1" w:themeTint="D9"/>
          <w:sz w:val="24"/>
          <w:lang w:val="el-GR"/>
        </w:rPr>
        <w:t>Εθνικό Κέντρο Τεκμηρίωσης και Ηλεκτρονικού Περιεχομένου (ΕΚΤ)</w:t>
      </w:r>
      <w:r w:rsidR="00BF2CC5">
        <w:rPr>
          <w:rFonts w:cstheme="majorHAnsi"/>
          <w:color w:val="262626" w:themeColor="text1" w:themeTint="D9"/>
          <w:sz w:val="24"/>
          <w:lang w:val="el-GR"/>
        </w:rPr>
        <w:br/>
      </w:r>
      <w:r w:rsidR="008C74E9">
        <w:rPr>
          <w:rFonts w:cstheme="majorHAnsi"/>
          <w:color w:val="262626" w:themeColor="text1" w:themeTint="D9"/>
          <w:sz w:val="24"/>
          <w:lang w:val="el-GR"/>
        </w:rPr>
        <w:t>Τμήμα Επικοινωνίας και Δημοσίων Σχέσεων</w:t>
      </w:r>
      <w:r>
        <w:rPr>
          <w:rFonts w:cstheme="majorHAnsi"/>
          <w:color w:val="262626" w:themeColor="text1" w:themeTint="D9"/>
          <w:sz w:val="24"/>
          <w:lang w:val="el-GR"/>
        </w:rPr>
        <w:t xml:space="preserve"> | Τ: 210 220 4941, </w:t>
      </w:r>
      <w:r>
        <w:rPr>
          <w:rFonts w:cstheme="majorHAnsi"/>
          <w:color w:val="262626" w:themeColor="text1" w:themeTint="D9"/>
          <w:sz w:val="24"/>
        </w:rPr>
        <w:t>E</w:t>
      </w:r>
      <w:r>
        <w:rPr>
          <w:rFonts w:cstheme="majorHAnsi"/>
          <w:color w:val="262626" w:themeColor="text1" w:themeTint="D9"/>
          <w:sz w:val="24"/>
          <w:lang w:val="el-GR"/>
        </w:rPr>
        <w:t>:</w:t>
      </w:r>
      <w:r>
        <w:rPr>
          <w:rFonts w:eastAsia="Batang"/>
          <w:lang w:val="el-GR" w:eastAsia="el-GR"/>
        </w:rPr>
        <w:t xml:space="preserve"> </w:t>
      </w:r>
      <w:hyperlink r:id="rId16" w:history="1">
        <w:r w:rsidR="008C74E9" w:rsidRPr="00B60E52">
          <w:rPr>
            <w:rStyle w:val="Hyperlink"/>
            <w:rFonts w:eastAsia="Batang"/>
            <w:lang w:eastAsia="el-GR"/>
          </w:rPr>
          <w:t>communication</w:t>
        </w:r>
        <w:r w:rsidR="008C74E9" w:rsidRPr="00B60E52">
          <w:rPr>
            <w:rStyle w:val="Hyperlink"/>
            <w:rFonts w:eastAsia="Batang"/>
            <w:lang w:val="el-GR" w:eastAsia="el-GR"/>
          </w:rPr>
          <w:t>@</w:t>
        </w:r>
        <w:r w:rsidR="008C74E9" w:rsidRPr="00B60E52">
          <w:rPr>
            <w:rStyle w:val="Hyperlink"/>
            <w:rFonts w:eastAsia="Batang"/>
            <w:lang w:eastAsia="el-GR"/>
          </w:rPr>
          <w:t>ekt</w:t>
        </w:r>
        <w:r w:rsidR="008C74E9" w:rsidRPr="008C74E9">
          <w:rPr>
            <w:rStyle w:val="Hyperlink"/>
            <w:rFonts w:eastAsia="Batang"/>
            <w:lang w:val="el-GR" w:eastAsia="el-GR"/>
          </w:rPr>
          <w:t>.</w:t>
        </w:r>
        <w:r w:rsidR="008C74E9" w:rsidRPr="00B60E52">
          <w:rPr>
            <w:rStyle w:val="Hyperlink"/>
            <w:rFonts w:eastAsia="Batang"/>
            <w:lang w:eastAsia="el-GR"/>
          </w:rPr>
          <w:t>gr</w:t>
        </w:r>
      </w:hyperlink>
      <w:r w:rsidR="008C74E9" w:rsidRPr="008C74E9">
        <w:rPr>
          <w:rFonts w:eastAsia="Batang"/>
          <w:lang w:val="el-GR" w:eastAsia="el-GR"/>
        </w:rPr>
        <w:t xml:space="preserve"> </w:t>
      </w:r>
    </w:p>
    <w:p w14:paraId="003B92CD" w14:textId="77777777" w:rsidR="00136281" w:rsidRDefault="00136281" w:rsidP="00EC3996">
      <w:pPr>
        <w:spacing w:after="0" w:line="240" w:lineRule="auto"/>
        <w:rPr>
          <w:rFonts w:cstheme="majorHAnsi"/>
          <w:b/>
          <w:i/>
          <w:color w:val="262626" w:themeColor="text1" w:themeTint="D9"/>
          <w:sz w:val="24"/>
          <w:lang w:val="el-GR"/>
        </w:rPr>
      </w:pPr>
    </w:p>
    <w:p w14:paraId="50F5E9C2" w14:textId="3D69CBCE" w:rsidR="00C870E7" w:rsidRDefault="00C870E7" w:rsidP="00261937">
      <w:pPr>
        <w:spacing w:after="0" w:line="240" w:lineRule="auto"/>
        <w:rPr>
          <w:rFonts w:cstheme="majorHAnsi"/>
          <w:b/>
          <w:i/>
          <w:color w:val="262626" w:themeColor="text1" w:themeTint="D9"/>
          <w:sz w:val="24"/>
          <w:lang w:val="el-GR"/>
        </w:rPr>
      </w:pPr>
      <w:r>
        <w:rPr>
          <w:rFonts w:cstheme="majorHAnsi"/>
          <w:b/>
          <w:i/>
          <w:color w:val="262626" w:themeColor="text1" w:themeTint="D9"/>
          <w:sz w:val="24"/>
          <w:lang w:val="el-GR"/>
        </w:rPr>
        <w:t xml:space="preserve">Σχετικά με το Εθνικό Κέντρο Τεκμηρίωσης και Ηλεκτρονικού Περιεχομένου </w:t>
      </w:r>
    </w:p>
    <w:p w14:paraId="05159D16" w14:textId="77777777" w:rsidR="00C870E7" w:rsidRDefault="00C870E7" w:rsidP="00C870E7">
      <w:pPr>
        <w:spacing w:after="0" w:line="240" w:lineRule="auto"/>
        <w:jc w:val="both"/>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Το Εθνικό Κέντρο Τεκμηρίωσης και Ηλεκτρονικού Περιεχομένου (</w:t>
      </w:r>
      <w:r w:rsidRPr="008B4793">
        <w:rPr>
          <w:rStyle w:val="Emphasis"/>
          <w:rFonts w:cstheme="minorHAnsi"/>
          <w:color w:val="000000"/>
          <w:szCs w:val="21"/>
          <w:shd w:val="clear" w:color="auto" w:fill="FFFFFF"/>
        </w:rPr>
        <w:t>EKT</w:t>
      </w:r>
      <w:r w:rsidRPr="008B4793">
        <w:rPr>
          <w:rStyle w:val="Emphasis"/>
          <w:rFonts w:cstheme="minorHAnsi"/>
          <w:color w:val="000000"/>
          <w:szCs w:val="21"/>
          <w:shd w:val="clear" w:color="auto" w:fill="FFFFFF"/>
          <w:lang w:val="el-GR"/>
        </w:rPr>
        <w:t>) (</w:t>
      </w:r>
      <w:hyperlink r:id="rId17" w:history="1">
        <w:r w:rsidRPr="008B4793">
          <w:rPr>
            <w:rStyle w:val="Hyperlink"/>
            <w:rFonts w:cstheme="minorHAnsi"/>
            <w:szCs w:val="21"/>
            <w:shd w:val="clear" w:color="auto" w:fill="FFFFFF"/>
          </w:rPr>
          <w:t>www</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ekt</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gr</w:t>
        </w:r>
      </w:hyperlink>
      <w:r w:rsidRPr="008B4793">
        <w:rPr>
          <w:rStyle w:val="Emphasis"/>
          <w:rFonts w:cstheme="minorHAnsi"/>
          <w:color w:val="000000"/>
          <w:szCs w:val="21"/>
          <w:shd w:val="clear" w:color="auto" w:fill="FFFFFF"/>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καθώς και την ψηφιακή διατήρηση της επιστημονικής, τεχνολογικής και πολιτιστικής πληροφορίας, περιεχομένου και δεδομένων,</w:t>
      </w:r>
      <w:r w:rsidRPr="008B4793">
        <w:rPr>
          <w:rStyle w:val="Emphasis"/>
          <w:rFonts w:cstheme="minorHAnsi"/>
          <w:color w:val="000000"/>
          <w:szCs w:val="21"/>
          <w:shd w:val="clear" w:color="auto" w:fill="FFFFFF"/>
        </w:rPr>
        <w:t> </w:t>
      </w:r>
      <w:r w:rsidRPr="008B4793">
        <w:rPr>
          <w:rStyle w:val="Emphasis"/>
          <w:rFonts w:cstheme="minorHAnsi"/>
          <w:color w:val="000000"/>
          <w:szCs w:val="21"/>
          <w:shd w:val="clear" w:color="auto" w:fill="FFFFFF"/>
          <w:lang w:val="el-GR"/>
        </w:rPr>
        <w:t xml:space="preserve"> που παράγονται στην Ελλάδα. Με σύγχρονες τεχνολογικές υποδομές, υψηλή τεχνογνωσία και προσωπικό υψηλής κατάρτισης και εξειδίκευσης, το ΕΚΤ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p>
    <w:p w14:paraId="293804CC" w14:textId="77777777" w:rsidR="00C870E7" w:rsidRPr="00172C04" w:rsidRDefault="00C870E7" w:rsidP="00C870E7">
      <w:pPr>
        <w:spacing w:after="0" w:line="240" w:lineRule="auto"/>
        <w:rPr>
          <w:rStyle w:val="Emphasis"/>
          <w:rFonts w:cstheme="majorHAnsi"/>
          <w:b/>
          <w:iCs w:val="0"/>
          <w:color w:val="262626" w:themeColor="text1" w:themeTint="D9"/>
          <w:sz w:val="24"/>
          <w:lang w:val="el-GR"/>
        </w:rPr>
      </w:pPr>
      <w:r w:rsidRPr="008B4793">
        <w:rPr>
          <w:rStyle w:val="Emphasis"/>
          <w:rFonts w:cstheme="minorHAnsi"/>
          <w:color w:val="000000"/>
          <w:szCs w:val="21"/>
          <w:shd w:val="clear" w:color="auto" w:fill="FFFFFF"/>
          <w:lang w:val="el-GR"/>
        </w:rPr>
        <w:t>• Συλλέγει, τεκμηριώνει και διαθέτει για περαιτέρω χρήση, ως δημόσια δεδομένα, έγκριτο ψηφιακό περιεχόμενο επιστήμης και πολιτισμού.</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Παράγει τα επίσημα στατιστικά στοιχεία της χώρας μας για τις ευρωπαϊκές στατιστικές Έρευνας, Ανάπτυξης και Καινοτομίας. Διεξάγει έρευνες, συλλέγει στοιχεία και παράγει 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Συμμετέχει ενεργά στη διαμόρφωση της εθνικής στρατηγικής για την Ανοικτή Επιστήμη και την Ανοικτή Πρόσβαση.</w:t>
      </w:r>
    </w:p>
    <w:p w14:paraId="651CDB9A" w14:textId="77777777" w:rsidR="00C870E7" w:rsidRPr="00FA2ADC" w:rsidRDefault="00C870E7" w:rsidP="00C870E7">
      <w:pPr>
        <w:spacing w:after="0"/>
        <w:rPr>
          <w:rFonts w:eastAsia="Times New Roman" w:cs="Times New Roman"/>
          <w:b/>
          <w:sz w:val="24"/>
          <w:lang w:val="el-GR"/>
        </w:rPr>
      </w:pPr>
      <w:r w:rsidRPr="008B4793">
        <w:rPr>
          <w:rStyle w:val="Emphasis"/>
          <w:rFonts w:cstheme="minorHAnsi"/>
          <w:color w:val="000000"/>
          <w:szCs w:val="21"/>
          <w:shd w:val="clear" w:color="auto" w:fill="FFFFFF"/>
          <w:lang w:val="el-GR"/>
        </w:rPr>
        <w:t>• Υποστηρίζει τις επιχειρήσεις ώστε να δικτυωθούν, να γίνουν εξωστρεφείς και να συνεργαστούν με την ερευνητική κοινότητα.</w:t>
      </w:r>
    </w:p>
    <w:p w14:paraId="62F54C45" w14:textId="3BD57538" w:rsidR="00DC5204" w:rsidRPr="00261937" w:rsidRDefault="004A2D3B" w:rsidP="00261937">
      <w:pPr>
        <w:spacing w:after="0"/>
        <w:rPr>
          <w:i/>
          <w:lang w:val="el-GR" w:eastAsia="el-GR"/>
        </w:rPr>
      </w:pPr>
      <w:r w:rsidRPr="004A2D3B">
        <w:rPr>
          <w:rFonts w:ascii="Open Sans" w:hAnsi="Open Sans" w:cs="Open Sans"/>
          <w:i/>
          <w:iCs/>
          <w:color w:val="000000"/>
          <w:sz w:val="21"/>
          <w:szCs w:val="21"/>
          <w:shd w:val="clear" w:color="auto" w:fill="FFFFFF"/>
          <w:lang w:val="el-GR"/>
        </w:rPr>
        <w:br/>
      </w:r>
      <w:r w:rsidRPr="004A2D3B">
        <w:rPr>
          <w:rFonts w:ascii="Open Sans" w:hAnsi="Open Sans" w:cs="Open Sans"/>
          <w:i/>
          <w:iCs/>
          <w:color w:val="000000"/>
          <w:sz w:val="21"/>
          <w:szCs w:val="21"/>
          <w:shd w:val="clear" w:color="auto" w:fill="FFFFFF"/>
          <w:lang w:val="el-GR"/>
        </w:rPr>
        <w:br/>
      </w:r>
    </w:p>
    <w:sectPr w:rsidR="00DC5204" w:rsidRPr="00261937" w:rsidSect="00150A15">
      <w:headerReference w:type="default" r:id="rId18"/>
      <w:footerReference w:type="default" r:id="rId19"/>
      <w:headerReference w:type="first" r:id="rId20"/>
      <w:footerReference w:type="first" r:id="rId21"/>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541C7" w14:textId="77777777" w:rsidR="009A2166" w:rsidRDefault="009A2166" w:rsidP="002E1873">
      <w:pPr>
        <w:spacing w:after="0" w:line="240" w:lineRule="auto"/>
      </w:pPr>
      <w:r>
        <w:separator/>
      </w:r>
    </w:p>
  </w:endnote>
  <w:endnote w:type="continuationSeparator" w:id="0">
    <w:p w14:paraId="087FF9D5" w14:textId="77777777" w:rsidR="009A2166" w:rsidRDefault="009A2166" w:rsidP="002E1873">
      <w:pPr>
        <w:spacing w:after="0" w:line="240" w:lineRule="auto"/>
      </w:pPr>
      <w:r>
        <w:continuationSeparator/>
      </w:r>
    </w:p>
  </w:endnote>
  <w:endnote w:type="continuationNotice" w:id="1">
    <w:p w14:paraId="060FBFB0" w14:textId="77777777" w:rsidR="0048784E" w:rsidRDefault="00487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A1"/>
    <w:family w:val="swiss"/>
    <w:pitch w:val="variable"/>
    <w:sig w:usb0="E00002EF" w:usb1="4000205B" w:usb2="00000028"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C07D" w14:textId="77777777" w:rsidR="009A2166" w:rsidRPr="0065360B"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F3BD93D" w14:textId="77777777" w:rsidR="009A2166" w:rsidRPr="00D41F9B" w:rsidRDefault="009A2166">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864F" w14:textId="77777777" w:rsidR="009A2166" w:rsidRPr="0065360B"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670256D2" w14:textId="77777777" w:rsidR="009A2166" w:rsidRPr="005311F2"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FF7BD" w14:textId="77777777" w:rsidR="009A2166" w:rsidRDefault="009A2166" w:rsidP="002E1873">
      <w:pPr>
        <w:spacing w:after="0" w:line="240" w:lineRule="auto"/>
      </w:pPr>
      <w:r>
        <w:separator/>
      </w:r>
    </w:p>
  </w:footnote>
  <w:footnote w:type="continuationSeparator" w:id="0">
    <w:p w14:paraId="0CCF33E6" w14:textId="77777777" w:rsidR="009A2166" w:rsidRDefault="009A2166" w:rsidP="002E1873">
      <w:pPr>
        <w:spacing w:after="0" w:line="240" w:lineRule="auto"/>
      </w:pPr>
      <w:r>
        <w:continuationSeparator/>
      </w:r>
    </w:p>
  </w:footnote>
  <w:footnote w:type="continuationNotice" w:id="1">
    <w:p w14:paraId="7E4926CF" w14:textId="77777777" w:rsidR="0048784E" w:rsidRDefault="00487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512A" w14:textId="0A81222B" w:rsidR="009A2166" w:rsidRPr="002A2E0B" w:rsidRDefault="009A2166" w:rsidP="00261937">
    <w:pPr>
      <w:spacing w:after="0" w:line="240" w:lineRule="auto"/>
      <w:rPr>
        <w:rFonts w:cstheme="majorHAnsi"/>
        <w:color w:val="262626" w:themeColor="text1" w:themeTint="D9"/>
        <w:sz w:val="20"/>
        <w:szCs w:val="20"/>
        <w:lang w:val="el-GR"/>
      </w:rPr>
    </w:pPr>
    <w:r w:rsidRPr="00261937">
      <w:rPr>
        <w:rFonts w:cstheme="majorHAnsi"/>
        <w:color w:val="262626" w:themeColor="text1" w:themeTint="D9"/>
        <w:sz w:val="20"/>
        <w:szCs w:val="20"/>
        <w:lang w:val="el-GR"/>
      </w:rPr>
      <w:t xml:space="preserve">Νέα εποχή για τις ελληνικές βιβλιοθήκες: Το ΕΚΤ παρουσιάζει το αναβαθμισμένο </w:t>
    </w:r>
    <w:r>
      <w:rPr>
        <w:rFonts w:cstheme="majorHAnsi"/>
        <w:color w:val="262626" w:themeColor="text1" w:themeTint="D9"/>
        <w:sz w:val="20"/>
        <w:szCs w:val="20"/>
      </w:rPr>
      <w:t>OpenABEKT</w:t>
    </w:r>
    <w:r w:rsidRPr="00352A12">
      <w:rPr>
        <w:rFonts w:cstheme="majorHAnsi"/>
        <w:color w:val="262626" w:themeColor="text1" w:themeTint="D9"/>
        <w:sz w:val="20"/>
        <w:szCs w:val="20"/>
        <w:lang w:val="el-GR"/>
      </w:rPr>
      <w:t xml:space="preserve"> </w:t>
    </w:r>
    <w:r w:rsidRPr="00D52861">
      <w:rPr>
        <w:sz w:val="20"/>
        <w:szCs w:val="20"/>
        <w:lang w:val="el-GR"/>
      </w:rPr>
      <w:t xml:space="preserve">| </w:t>
    </w:r>
    <w:r w:rsidRPr="00D52861">
      <w:rPr>
        <w:sz w:val="20"/>
        <w:szCs w:val="20"/>
        <w:lang w:val="el-GR" w:eastAsia="el-GR"/>
      </w:rPr>
      <w:t>ΕΚΤ</w:t>
    </w:r>
    <w:r>
      <w:rPr>
        <w:b/>
        <w:sz w:val="20"/>
        <w:szCs w:val="20"/>
        <w:lang w:val="el-GR" w:eastAsia="el-GR"/>
      </w:rPr>
      <w:t xml:space="preserve"> </w:t>
    </w:r>
    <w:r>
      <w:rPr>
        <w:sz w:val="20"/>
        <w:szCs w:val="20"/>
        <w:lang w:val="el-GR"/>
      </w:rPr>
      <w:t>|</w:t>
    </w:r>
    <w:r w:rsidRPr="00787C92">
      <w:rPr>
        <w:sz w:val="20"/>
        <w:szCs w:val="20"/>
        <w:lang w:val="el-GR"/>
      </w:rPr>
      <w:t xml:space="preserve"> </w:t>
    </w:r>
    <w:r>
      <w:rPr>
        <w:sz w:val="20"/>
        <w:szCs w:val="20"/>
        <w:lang w:val="el-GR"/>
      </w:rPr>
      <w:t>ΔΕΛΤΙΟ ΤΥΠΟΥ</w:t>
    </w:r>
    <w:r w:rsidRPr="002A2E0B">
      <w:rPr>
        <w:b/>
        <w:sz w:val="28"/>
        <w:lang w:val="el-GR" w:eastAsia="el-GR"/>
      </w:rPr>
      <w:t xml:space="preserve"> </w:t>
    </w:r>
    <w:r>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D809" w14:textId="606BD5A8" w:rsidR="009A2166" w:rsidRPr="00261937" w:rsidRDefault="009A2166" w:rsidP="00301D9A">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018A4EB2" wp14:editId="31F9BE15">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6442B6">
      <w:rPr>
        <w:lang w:val="el-GR"/>
      </w:rPr>
      <w:t>Αθήνα,</w:t>
    </w:r>
    <w:r w:rsidRPr="006442B6">
      <w:t xml:space="preserve"> </w:t>
    </w:r>
    <w:r>
      <w:t>17</w:t>
    </w:r>
    <w:r w:rsidRPr="006442B6">
      <w:t>.</w:t>
    </w:r>
    <w:r>
      <w:t>02</w:t>
    </w:r>
    <w:r w:rsidRPr="006442B6">
      <w:rPr>
        <w:lang w:val="el-GR"/>
      </w:rPr>
      <w:t>.20</w:t>
    </w:r>
    <w:r w:rsidRPr="006442B6">
      <w:t>2</w:t>
    </w:r>
    <w:r>
      <w:t>6</w:t>
    </w:r>
  </w:p>
  <w:p w14:paraId="1C52C381" w14:textId="77777777" w:rsidR="009A2166" w:rsidRDefault="009A2166">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D00009"/>
    <w:multiLevelType w:val="hybridMultilevel"/>
    <w:tmpl w:val="B6B6E9BE"/>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7C5A13"/>
    <w:multiLevelType w:val="hybridMultilevel"/>
    <w:tmpl w:val="89A89564"/>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D01CF"/>
    <w:multiLevelType w:val="hybridMultilevel"/>
    <w:tmpl w:val="1C7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73"/>
    <w:rsid w:val="00011730"/>
    <w:rsid w:val="00014478"/>
    <w:rsid w:val="000154CA"/>
    <w:rsid w:val="000344E2"/>
    <w:rsid w:val="00034CF4"/>
    <w:rsid w:val="00043427"/>
    <w:rsid w:val="00044A7D"/>
    <w:rsid w:val="0005442B"/>
    <w:rsid w:val="00061794"/>
    <w:rsid w:val="00063D68"/>
    <w:rsid w:val="00064AAE"/>
    <w:rsid w:val="000665F7"/>
    <w:rsid w:val="00067AF1"/>
    <w:rsid w:val="00075F01"/>
    <w:rsid w:val="000878D1"/>
    <w:rsid w:val="00090578"/>
    <w:rsid w:val="00097532"/>
    <w:rsid w:val="00097B1F"/>
    <w:rsid w:val="000A3A7C"/>
    <w:rsid w:val="000A791D"/>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EFC"/>
    <w:rsid w:val="0013453F"/>
    <w:rsid w:val="00136281"/>
    <w:rsid w:val="0013773A"/>
    <w:rsid w:val="0014272C"/>
    <w:rsid w:val="001458CF"/>
    <w:rsid w:val="00150A15"/>
    <w:rsid w:val="001609C6"/>
    <w:rsid w:val="001643B5"/>
    <w:rsid w:val="001646C1"/>
    <w:rsid w:val="0016730D"/>
    <w:rsid w:val="001701AC"/>
    <w:rsid w:val="00171E76"/>
    <w:rsid w:val="0017374C"/>
    <w:rsid w:val="0017687E"/>
    <w:rsid w:val="001879A9"/>
    <w:rsid w:val="00192BAB"/>
    <w:rsid w:val="001A0C05"/>
    <w:rsid w:val="001B4208"/>
    <w:rsid w:val="001C0973"/>
    <w:rsid w:val="001C2B9D"/>
    <w:rsid w:val="001D5F59"/>
    <w:rsid w:val="001D60BF"/>
    <w:rsid w:val="001E15D2"/>
    <w:rsid w:val="001E3470"/>
    <w:rsid w:val="001F1896"/>
    <w:rsid w:val="001F3758"/>
    <w:rsid w:val="00204235"/>
    <w:rsid w:val="002043D7"/>
    <w:rsid w:val="00212827"/>
    <w:rsid w:val="00213507"/>
    <w:rsid w:val="0021492D"/>
    <w:rsid w:val="002208F1"/>
    <w:rsid w:val="00231BA2"/>
    <w:rsid w:val="0023529C"/>
    <w:rsid w:val="00241D75"/>
    <w:rsid w:val="002423F5"/>
    <w:rsid w:val="002424C1"/>
    <w:rsid w:val="00243231"/>
    <w:rsid w:val="00251B73"/>
    <w:rsid w:val="002544D7"/>
    <w:rsid w:val="002573E7"/>
    <w:rsid w:val="00261937"/>
    <w:rsid w:val="00261B93"/>
    <w:rsid w:val="00263A9B"/>
    <w:rsid w:val="00271C3E"/>
    <w:rsid w:val="002738C0"/>
    <w:rsid w:val="00276E4A"/>
    <w:rsid w:val="00281CCA"/>
    <w:rsid w:val="002877A3"/>
    <w:rsid w:val="002A2E0B"/>
    <w:rsid w:val="002B3685"/>
    <w:rsid w:val="002B5D08"/>
    <w:rsid w:val="002C0EAE"/>
    <w:rsid w:val="002C28B5"/>
    <w:rsid w:val="002C33D6"/>
    <w:rsid w:val="002E1873"/>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52A12"/>
    <w:rsid w:val="003624E6"/>
    <w:rsid w:val="00375B24"/>
    <w:rsid w:val="00385BB7"/>
    <w:rsid w:val="0039097A"/>
    <w:rsid w:val="003A09FF"/>
    <w:rsid w:val="003A43CD"/>
    <w:rsid w:val="003C25B8"/>
    <w:rsid w:val="003D16B1"/>
    <w:rsid w:val="003D461D"/>
    <w:rsid w:val="003E17AF"/>
    <w:rsid w:val="003E32B8"/>
    <w:rsid w:val="003F577B"/>
    <w:rsid w:val="00401A75"/>
    <w:rsid w:val="00405615"/>
    <w:rsid w:val="0041566A"/>
    <w:rsid w:val="004179A7"/>
    <w:rsid w:val="00421DA3"/>
    <w:rsid w:val="00427B63"/>
    <w:rsid w:val="0043429D"/>
    <w:rsid w:val="00442A6B"/>
    <w:rsid w:val="00447DCF"/>
    <w:rsid w:val="004527A1"/>
    <w:rsid w:val="00462DDC"/>
    <w:rsid w:val="00477D8D"/>
    <w:rsid w:val="00486BF1"/>
    <w:rsid w:val="0048784E"/>
    <w:rsid w:val="00487B73"/>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514"/>
    <w:rsid w:val="004E3EBF"/>
    <w:rsid w:val="004E4540"/>
    <w:rsid w:val="004E4B57"/>
    <w:rsid w:val="004E6FE1"/>
    <w:rsid w:val="00501407"/>
    <w:rsid w:val="00506C94"/>
    <w:rsid w:val="00510242"/>
    <w:rsid w:val="00511750"/>
    <w:rsid w:val="00517337"/>
    <w:rsid w:val="00525759"/>
    <w:rsid w:val="00533CFB"/>
    <w:rsid w:val="0055587A"/>
    <w:rsid w:val="00561F1D"/>
    <w:rsid w:val="00564C46"/>
    <w:rsid w:val="00577E88"/>
    <w:rsid w:val="00580476"/>
    <w:rsid w:val="005831F5"/>
    <w:rsid w:val="0059171C"/>
    <w:rsid w:val="005A0403"/>
    <w:rsid w:val="005A58DF"/>
    <w:rsid w:val="005B35A3"/>
    <w:rsid w:val="005B4FC7"/>
    <w:rsid w:val="005B5961"/>
    <w:rsid w:val="005B61E5"/>
    <w:rsid w:val="005D291A"/>
    <w:rsid w:val="005D4304"/>
    <w:rsid w:val="005D6E58"/>
    <w:rsid w:val="005D6F09"/>
    <w:rsid w:val="005E031F"/>
    <w:rsid w:val="005F0D19"/>
    <w:rsid w:val="00603484"/>
    <w:rsid w:val="00610214"/>
    <w:rsid w:val="00610B2F"/>
    <w:rsid w:val="00616508"/>
    <w:rsid w:val="00621442"/>
    <w:rsid w:val="0063034C"/>
    <w:rsid w:val="00637A32"/>
    <w:rsid w:val="00640EC7"/>
    <w:rsid w:val="006412D3"/>
    <w:rsid w:val="006442B6"/>
    <w:rsid w:val="0065132C"/>
    <w:rsid w:val="00652B33"/>
    <w:rsid w:val="00663E3D"/>
    <w:rsid w:val="00665986"/>
    <w:rsid w:val="006854F7"/>
    <w:rsid w:val="00693749"/>
    <w:rsid w:val="006A38DC"/>
    <w:rsid w:val="006A75E6"/>
    <w:rsid w:val="006B191C"/>
    <w:rsid w:val="006B4632"/>
    <w:rsid w:val="006D00BC"/>
    <w:rsid w:val="006D0D75"/>
    <w:rsid w:val="006D556E"/>
    <w:rsid w:val="006E2C99"/>
    <w:rsid w:val="006E3FD0"/>
    <w:rsid w:val="006E4C35"/>
    <w:rsid w:val="006F2293"/>
    <w:rsid w:val="00704039"/>
    <w:rsid w:val="00705D85"/>
    <w:rsid w:val="00712D03"/>
    <w:rsid w:val="007145F4"/>
    <w:rsid w:val="00720C3A"/>
    <w:rsid w:val="00740CCF"/>
    <w:rsid w:val="00753584"/>
    <w:rsid w:val="007727EE"/>
    <w:rsid w:val="00776FE5"/>
    <w:rsid w:val="00790BEA"/>
    <w:rsid w:val="0079642E"/>
    <w:rsid w:val="00797F30"/>
    <w:rsid w:val="007A7B0C"/>
    <w:rsid w:val="007A7C4A"/>
    <w:rsid w:val="007C536F"/>
    <w:rsid w:val="007D183B"/>
    <w:rsid w:val="007D2870"/>
    <w:rsid w:val="007D5174"/>
    <w:rsid w:val="007D77A4"/>
    <w:rsid w:val="007E42D1"/>
    <w:rsid w:val="007E4D87"/>
    <w:rsid w:val="007E67CF"/>
    <w:rsid w:val="00801E68"/>
    <w:rsid w:val="00802102"/>
    <w:rsid w:val="00802EA1"/>
    <w:rsid w:val="008044F5"/>
    <w:rsid w:val="00807351"/>
    <w:rsid w:val="0081280F"/>
    <w:rsid w:val="00812A0B"/>
    <w:rsid w:val="00820292"/>
    <w:rsid w:val="00821115"/>
    <w:rsid w:val="00834D8D"/>
    <w:rsid w:val="008439D2"/>
    <w:rsid w:val="0085138D"/>
    <w:rsid w:val="008526BF"/>
    <w:rsid w:val="00856E43"/>
    <w:rsid w:val="008734E8"/>
    <w:rsid w:val="0087532A"/>
    <w:rsid w:val="00881E9A"/>
    <w:rsid w:val="00885C95"/>
    <w:rsid w:val="00890B92"/>
    <w:rsid w:val="008918B2"/>
    <w:rsid w:val="00897E62"/>
    <w:rsid w:val="008A0F6A"/>
    <w:rsid w:val="008B6150"/>
    <w:rsid w:val="008B6EC6"/>
    <w:rsid w:val="008C4FCF"/>
    <w:rsid w:val="008C6824"/>
    <w:rsid w:val="008C74E9"/>
    <w:rsid w:val="008C7679"/>
    <w:rsid w:val="008D2755"/>
    <w:rsid w:val="008D392C"/>
    <w:rsid w:val="008F102D"/>
    <w:rsid w:val="008F44A2"/>
    <w:rsid w:val="00914547"/>
    <w:rsid w:val="009145E9"/>
    <w:rsid w:val="0092609C"/>
    <w:rsid w:val="00934878"/>
    <w:rsid w:val="0096148D"/>
    <w:rsid w:val="00962929"/>
    <w:rsid w:val="009732E6"/>
    <w:rsid w:val="0099714B"/>
    <w:rsid w:val="00997624"/>
    <w:rsid w:val="009A2166"/>
    <w:rsid w:val="009A2D77"/>
    <w:rsid w:val="009B08B0"/>
    <w:rsid w:val="009B0DF0"/>
    <w:rsid w:val="009B5AA5"/>
    <w:rsid w:val="009C1036"/>
    <w:rsid w:val="009C4982"/>
    <w:rsid w:val="009D0EF3"/>
    <w:rsid w:val="009D42F8"/>
    <w:rsid w:val="009E25DC"/>
    <w:rsid w:val="009E3096"/>
    <w:rsid w:val="009E7442"/>
    <w:rsid w:val="009F2CF1"/>
    <w:rsid w:val="009F4065"/>
    <w:rsid w:val="00A0124B"/>
    <w:rsid w:val="00A02041"/>
    <w:rsid w:val="00A06145"/>
    <w:rsid w:val="00A11144"/>
    <w:rsid w:val="00A13146"/>
    <w:rsid w:val="00A3085B"/>
    <w:rsid w:val="00A31A53"/>
    <w:rsid w:val="00A32599"/>
    <w:rsid w:val="00A36E04"/>
    <w:rsid w:val="00A43B93"/>
    <w:rsid w:val="00A4758D"/>
    <w:rsid w:val="00A61AB1"/>
    <w:rsid w:val="00A6445F"/>
    <w:rsid w:val="00A70390"/>
    <w:rsid w:val="00A7669B"/>
    <w:rsid w:val="00A92C48"/>
    <w:rsid w:val="00A944BF"/>
    <w:rsid w:val="00AA2027"/>
    <w:rsid w:val="00AC6B29"/>
    <w:rsid w:val="00AD0383"/>
    <w:rsid w:val="00AD069D"/>
    <w:rsid w:val="00AD2ABA"/>
    <w:rsid w:val="00AD4A70"/>
    <w:rsid w:val="00AE65B0"/>
    <w:rsid w:val="00AF1A08"/>
    <w:rsid w:val="00AF2CC8"/>
    <w:rsid w:val="00AF5A34"/>
    <w:rsid w:val="00AF6A36"/>
    <w:rsid w:val="00B04B35"/>
    <w:rsid w:val="00B2215D"/>
    <w:rsid w:val="00B27D91"/>
    <w:rsid w:val="00B330F7"/>
    <w:rsid w:val="00B37536"/>
    <w:rsid w:val="00B4066B"/>
    <w:rsid w:val="00B552AA"/>
    <w:rsid w:val="00B57A74"/>
    <w:rsid w:val="00B709D9"/>
    <w:rsid w:val="00B75D53"/>
    <w:rsid w:val="00B81BAA"/>
    <w:rsid w:val="00B87355"/>
    <w:rsid w:val="00B906BC"/>
    <w:rsid w:val="00B91D60"/>
    <w:rsid w:val="00BA050A"/>
    <w:rsid w:val="00BA3EF4"/>
    <w:rsid w:val="00BB291D"/>
    <w:rsid w:val="00BB77B6"/>
    <w:rsid w:val="00BC390C"/>
    <w:rsid w:val="00BE4E81"/>
    <w:rsid w:val="00BE5839"/>
    <w:rsid w:val="00BF2CC5"/>
    <w:rsid w:val="00C0372A"/>
    <w:rsid w:val="00C11192"/>
    <w:rsid w:val="00C12667"/>
    <w:rsid w:val="00C24544"/>
    <w:rsid w:val="00C35F39"/>
    <w:rsid w:val="00C36BA2"/>
    <w:rsid w:val="00C467DD"/>
    <w:rsid w:val="00C515D1"/>
    <w:rsid w:val="00C54609"/>
    <w:rsid w:val="00C54A3D"/>
    <w:rsid w:val="00C55DA3"/>
    <w:rsid w:val="00C569F5"/>
    <w:rsid w:val="00C61884"/>
    <w:rsid w:val="00C63BAD"/>
    <w:rsid w:val="00C665A5"/>
    <w:rsid w:val="00C70819"/>
    <w:rsid w:val="00C85F3D"/>
    <w:rsid w:val="00C870E7"/>
    <w:rsid w:val="00C96A12"/>
    <w:rsid w:val="00CA6C05"/>
    <w:rsid w:val="00CB12F2"/>
    <w:rsid w:val="00CB4791"/>
    <w:rsid w:val="00CC3FCB"/>
    <w:rsid w:val="00CD092A"/>
    <w:rsid w:val="00CD1DF6"/>
    <w:rsid w:val="00CD3BBC"/>
    <w:rsid w:val="00CE0EE4"/>
    <w:rsid w:val="00CF1DC3"/>
    <w:rsid w:val="00CF5378"/>
    <w:rsid w:val="00D1336D"/>
    <w:rsid w:val="00D17D47"/>
    <w:rsid w:val="00D20E44"/>
    <w:rsid w:val="00D340AC"/>
    <w:rsid w:val="00D3561E"/>
    <w:rsid w:val="00D41F9B"/>
    <w:rsid w:val="00D46024"/>
    <w:rsid w:val="00D54466"/>
    <w:rsid w:val="00D55E29"/>
    <w:rsid w:val="00D67756"/>
    <w:rsid w:val="00D67768"/>
    <w:rsid w:val="00D7223F"/>
    <w:rsid w:val="00D74B26"/>
    <w:rsid w:val="00D83951"/>
    <w:rsid w:val="00D86BE3"/>
    <w:rsid w:val="00D95BCD"/>
    <w:rsid w:val="00DB00AA"/>
    <w:rsid w:val="00DB3684"/>
    <w:rsid w:val="00DC35F2"/>
    <w:rsid w:val="00DC5204"/>
    <w:rsid w:val="00DF5D25"/>
    <w:rsid w:val="00E03788"/>
    <w:rsid w:val="00E07888"/>
    <w:rsid w:val="00E12E09"/>
    <w:rsid w:val="00E20D67"/>
    <w:rsid w:val="00E2488C"/>
    <w:rsid w:val="00E27EBF"/>
    <w:rsid w:val="00E31AFD"/>
    <w:rsid w:val="00E3275F"/>
    <w:rsid w:val="00E37089"/>
    <w:rsid w:val="00E37447"/>
    <w:rsid w:val="00E44211"/>
    <w:rsid w:val="00E4638A"/>
    <w:rsid w:val="00E507E4"/>
    <w:rsid w:val="00E556A3"/>
    <w:rsid w:val="00E57B36"/>
    <w:rsid w:val="00E600C3"/>
    <w:rsid w:val="00E62404"/>
    <w:rsid w:val="00E70426"/>
    <w:rsid w:val="00E9573D"/>
    <w:rsid w:val="00EA5A00"/>
    <w:rsid w:val="00EB6353"/>
    <w:rsid w:val="00EC2B50"/>
    <w:rsid w:val="00EC3996"/>
    <w:rsid w:val="00ED14CB"/>
    <w:rsid w:val="00EF445A"/>
    <w:rsid w:val="00F00748"/>
    <w:rsid w:val="00F02C89"/>
    <w:rsid w:val="00F12205"/>
    <w:rsid w:val="00F2076C"/>
    <w:rsid w:val="00F25EAF"/>
    <w:rsid w:val="00F43C22"/>
    <w:rsid w:val="00F45D18"/>
    <w:rsid w:val="00F472FE"/>
    <w:rsid w:val="00F479DB"/>
    <w:rsid w:val="00F47CBE"/>
    <w:rsid w:val="00F51263"/>
    <w:rsid w:val="00F70852"/>
    <w:rsid w:val="00F74184"/>
    <w:rsid w:val="00F758E1"/>
    <w:rsid w:val="00F84266"/>
    <w:rsid w:val="00F87E08"/>
    <w:rsid w:val="00FA1A08"/>
    <w:rsid w:val="00FB3380"/>
    <w:rsid w:val="00FB5C3C"/>
    <w:rsid w:val="00FD009B"/>
    <w:rsid w:val="00FE141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969AB"/>
  <w15:docId w15:val="{FC308A4C-5855-4E0B-9394-6E1EE358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e.openabekt.g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penabekt.gr" TargetMode="External"/><Relationship Id="rId17" Type="http://schemas.openxmlformats.org/officeDocument/2006/relationships/hyperlink" Target="http://www.ekt.gr" TargetMode="External"/><Relationship Id="rId2" Type="http://schemas.openxmlformats.org/officeDocument/2006/relationships/customXml" Target="../customXml/item2.xml"/><Relationship Id="rId16" Type="http://schemas.openxmlformats.org/officeDocument/2006/relationships/hyperlink" Target="mailto:communication@ekt.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abekt.gr" TargetMode="External"/><Relationship Id="rId5" Type="http://schemas.openxmlformats.org/officeDocument/2006/relationships/numbering" Target="numbering.xml"/><Relationship Id="rId15" Type="http://schemas.openxmlformats.org/officeDocument/2006/relationships/hyperlink" Target="https://catalogue.openabekt.g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abekt.g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2.xml><?xml version="1.0" encoding="utf-8"?>
<ds:datastoreItem xmlns:ds="http://schemas.openxmlformats.org/officeDocument/2006/customXml" ds:itemID="{D7C71795-8556-4C71-B376-894D395A4ADA}">
  <ds:schemaRefs>
    <ds:schemaRef ds:uri="http://schemas.microsoft.com/office/2006/metadata/properties"/>
    <ds:schemaRef ds:uri="http://www.w3.org/XML/1998/namespace"/>
    <ds:schemaRef ds:uri="http://purl.org/dc/dcmitype/"/>
    <ds:schemaRef ds:uri="3c85ea02-3356-4cf5-86fa-e25d0775b27d"/>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fc1a25ad-c8f1-48d8-b13a-dff6fe122856"/>
  </ds:schemaRefs>
</ds:datastoreItem>
</file>

<file path=customXml/itemProps3.xml><?xml version="1.0" encoding="utf-8"?>
<ds:datastoreItem xmlns:ds="http://schemas.openxmlformats.org/officeDocument/2006/customXml" ds:itemID="{1775D1A3-4BC8-46CD-AE01-F129A39C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96900-DF5D-49D6-87B2-16F341F1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1161</Words>
  <Characters>6620</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15</cp:revision>
  <cp:lastPrinted>2026-02-16T09:12:00Z</cp:lastPrinted>
  <dcterms:created xsi:type="dcterms:W3CDTF">2025-11-24T14:05:00Z</dcterms:created>
  <dcterms:modified xsi:type="dcterms:W3CDTF">2026-02-17T09:06:00Z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