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79" w:rsidRPr="00AA1079" w:rsidRDefault="00AA1079" w:rsidP="00AE3218">
      <w:pPr>
        <w:spacing w:after="0" w:line="240" w:lineRule="auto"/>
        <w:jc w:val="center"/>
        <w:rPr>
          <w:rFonts w:cstheme="majorHAnsi"/>
          <w:b/>
          <w:color w:val="262626" w:themeColor="text1" w:themeTint="D9"/>
          <w:sz w:val="28"/>
          <w:lang w:val="el-GR"/>
        </w:rPr>
      </w:pPr>
      <w:r w:rsidRPr="00AA1079">
        <w:rPr>
          <w:rFonts w:cstheme="majorHAnsi"/>
          <w:b/>
          <w:color w:val="262626" w:themeColor="text1" w:themeTint="D9"/>
          <w:sz w:val="28"/>
          <w:lang w:val="el-GR"/>
        </w:rPr>
        <w:t>Στο 72,6% το ποσοστό των επιχειρήσεων που καινοτομούν στην Ελλάδα</w:t>
      </w:r>
    </w:p>
    <w:p w:rsidR="00AE3218" w:rsidRDefault="00D63991" w:rsidP="00AE3218">
      <w:pPr>
        <w:spacing w:after="0" w:line="240" w:lineRule="auto"/>
        <w:jc w:val="center"/>
        <w:rPr>
          <w:rFonts w:cstheme="majorHAnsi"/>
          <w:sz w:val="28"/>
          <w:lang w:val="el-GR"/>
        </w:rPr>
      </w:pPr>
      <w:r w:rsidRPr="00AE3218">
        <w:rPr>
          <w:rFonts w:cstheme="majorHAnsi"/>
          <w:sz w:val="28"/>
          <w:lang w:val="el-GR"/>
        </w:rPr>
        <w:t xml:space="preserve">Αξιοσημείωτη αύξηση </w:t>
      </w:r>
      <w:r w:rsidR="00AA1079" w:rsidRPr="00AE3218">
        <w:rPr>
          <w:rFonts w:cstheme="majorHAnsi"/>
          <w:sz w:val="28"/>
          <w:lang w:val="el-GR"/>
        </w:rPr>
        <w:t>του ποσοστού των καινοτόμων επιχειρήσεων την περίοδο 2018-2020, με βάση την επίσημη στατιστική έρευνα του ΕΚΤ</w:t>
      </w:r>
    </w:p>
    <w:p w:rsidR="00AE3218" w:rsidRDefault="00AE3218" w:rsidP="00AE3218">
      <w:pPr>
        <w:spacing w:after="0" w:line="240" w:lineRule="auto"/>
        <w:jc w:val="center"/>
        <w:rPr>
          <w:lang w:val="el-GR"/>
        </w:rPr>
      </w:pPr>
    </w:p>
    <w:p w:rsidR="00D63991" w:rsidRDefault="00AA1079" w:rsidP="00AE3218">
      <w:pPr>
        <w:spacing w:after="0" w:line="240" w:lineRule="auto"/>
        <w:jc w:val="both"/>
        <w:rPr>
          <w:lang w:val="el-GR"/>
        </w:rPr>
      </w:pPr>
      <w:r>
        <w:rPr>
          <w:lang w:val="el-GR"/>
        </w:rPr>
        <w:t>Σ</w:t>
      </w:r>
      <w:r w:rsidRPr="00A43B93">
        <w:rPr>
          <w:lang w:val="el-GR"/>
        </w:rPr>
        <w:t xml:space="preserve">το </w:t>
      </w:r>
      <w:r w:rsidRPr="007F0DFF">
        <w:rPr>
          <w:lang w:val="el-GR"/>
        </w:rPr>
        <w:t>72,6</w:t>
      </w:r>
      <w:r w:rsidRPr="00A43B93">
        <w:rPr>
          <w:lang w:val="el-GR"/>
        </w:rPr>
        <w:t>%</w:t>
      </w:r>
      <w:r>
        <w:rPr>
          <w:lang w:val="el-GR"/>
        </w:rPr>
        <w:t xml:space="preserve"> ανήλθε τ</w:t>
      </w:r>
      <w:r w:rsidRPr="00A43B93">
        <w:rPr>
          <w:lang w:val="el-GR"/>
        </w:rPr>
        <w:t xml:space="preserve">ο ποσοστό των καινοτόμων επιχειρήσεων στην Ελλάδα για την περίοδο </w:t>
      </w:r>
      <w:r w:rsidRPr="007F0DFF">
        <w:rPr>
          <w:lang w:val="el-GR"/>
        </w:rPr>
        <w:t>2018-2020</w:t>
      </w:r>
      <w:r>
        <w:rPr>
          <w:lang w:val="el-GR"/>
        </w:rPr>
        <w:t>,</w:t>
      </w:r>
      <w:r w:rsidRPr="00A43B93">
        <w:rPr>
          <w:lang w:val="el-GR"/>
        </w:rPr>
        <w:t xml:space="preserve"> παρουσιάζοντας άνοδο κατά </w:t>
      </w:r>
      <w:r w:rsidRPr="0053557D">
        <w:rPr>
          <w:lang w:val="el-GR"/>
        </w:rPr>
        <w:t>12,3</w:t>
      </w:r>
      <w:r w:rsidRPr="00A43B93">
        <w:rPr>
          <w:lang w:val="el-GR"/>
        </w:rPr>
        <w:t xml:space="preserve"> ποσοστιαίες μονάδες σε σχέση με την περίοδο </w:t>
      </w:r>
      <w:r w:rsidRPr="007F0DFF">
        <w:rPr>
          <w:lang w:val="el-GR"/>
        </w:rPr>
        <w:t>2016-2018</w:t>
      </w:r>
      <w:r w:rsidRPr="00A43B93">
        <w:rPr>
          <w:lang w:val="el-GR"/>
        </w:rPr>
        <w:t>, σύμφωνα με τα</w:t>
      </w:r>
      <w:r w:rsidRPr="00A11AB7">
        <w:rPr>
          <w:color w:val="000000" w:themeColor="text1"/>
          <w:lang w:val="el-GR"/>
        </w:rPr>
        <w:t xml:space="preserve"> </w:t>
      </w:r>
      <w:r w:rsidRPr="00A43B93">
        <w:rPr>
          <w:lang w:val="el-GR"/>
        </w:rPr>
        <w:t xml:space="preserve">στοιχεία </w:t>
      </w:r>
      <w:r>
        <w:rPr>
          <w:lang w:val="el-GR"/>
        </w:rPr>
        <w:t xml:space="preserve">για την καινοτομία στις ελληνικές επιχειρήσεις, τα οποία </w:t>
      </w:r>
      <w:r w:rsidR="00FF33A0">
        <w:rPr>
          <w:lang w:val="el-GR"/>
        </w:rPr>
        <w:t>δημοσίευσε τ</w:t>
      </w:r>
      <w:r w:rsidRPr="00A43B93">
        <w:rPr>
          <w:lang w:val="el-GR"/>
        </w:rPr>
        <w:t>ο Εθνικό Κέντρο Τεκμηρίωσης &amp; Ηλεκτρονικού Περιεχομένου (</w:t>
      </w:r>
      <w:r>
        <w:rPr>
          <w:lang w:val="el-GR"/>
        </w:rPr>
        <w:t>ΕΚΤ)</w:t>
      </w:r>
      <w:r w:rsidR="00FF33A0">
        <w:rPr>
          <w:lang w:val="el-GR"/>
        </w:rPr>
        <w:t xml:space="preserve">. </w:t>
      </w:r>
      <w:r>
        <w:rPr>
          <w:lang w:val="el-GR"/>
        </w:rPr>
        <w:t xml:space="preserve">Τα </w:t>
      </w:r>
      <w:r w:rsidRPr="00A43B93">
        <w:rPr>
          <w:lang w:val="el-GR"/>
        </w:rPr>
        <w:t>στατιστικά στοιχεία αποστέλλονται από το ΕΚΤ στη Eurostat στο πλαίσιο τ</w:t>
      </w:r>
      <w:r w:rsidR="00D63991">
        <w:rPr>
          <w:lang w:val="el-GR"/>
        </w:rPr>
        <w:t xml:space="preserve">ων επίσημων </w:t>
      </w:r>
      <w:r w:rsidRPr="00A43B93">
        <w:rPr>
          <w:lang w:val="el-GR"/>
        </w:rPr>
        <w:t>ευρωπαϊκ</w:t>
      </w:r>
      <w:r w:rsidR="00D63991">
        <w:rPr>
          <w:lang w:val="el-GR"/>
        </w:rPr>
        <w:t xml:space="preserve">ών στατιστικών </w:t>
      </w:r>
      <w:r w:rsidRPr="00A43B93">
        <w:rPr>
          <w:lang w:val="el-GR"/>
        </w:rPr>
        <w:t xml:space="preserve">για την καινοτομία και τις καινοτομικές δραστηριότητες των επιχειρήσεων στην ΕΕ (CIS - Community Innovation Survey). </w:t>
      </w:r>
    </w:p>
    <w:p w:rsidR="00AE3218" w:rsidRPr="00AE3218" w:rsidRDefault="00AE3218" w:rsidP="00AE3218">
      <w:pPr>
        <w:spacing w:after="0" w:line="240" w:lineRule="auto"/>
        <w:jc w:val="both"/>
        <w:rPr>
          <w:sz w:val="16"/>
          <w:lang w:val="el-GR"/>
        </w:rPr>
      </w:pPr>
    </w:p>
    <w:p w:rsidR="00FF33A0" w:rsidRDefault="00D63991" w:rsidP="00FF33A0">
      <w:pPr>
        <w:spacing w:after="0" w:line="240" w:lineRule="auto"/>
        <w:jc w:val="both"/>
        <w:rPr>
          <w:lang w:val="el-GR"/>
        </w:rPr>
      </w:pPr>
      <w:r>
        <w:rPr>
          <w:lang w:val="el-GR"/>
        </w:rPr>
        <w:t>Ο</w:t>
      </w:r>
      <w:r w:rsidR="00AA1079" w:rsidRPr="00ED3B22">
        <w:rPr>
          <w:lang w:val="el-GR"/>
        </w:rPr>
        <w:t xml:space="preserve"> πληθυσμός της </w:t>
      </w:r>
      <w:r>
        <w:rPr>
          <w:lang w:val="el-GR"/>
        </w:rPr>
        <w:t xml:space="preserve">πανελλήνιας στατιστικής </w:t>
      </w:r>
      <w:r w:rsidR="00AA1079" w:rsidRPr="00ED3B22">
        <w:rPr>
          <w:lang w:val="el-GR"/>
        </w:rPr>
        <w:t xml:space="preserve">έρευνας </w:t>
      </w:r>
      <w:r w:rsidRPr="00ED3B22">
        <w:rPr>
          <w:lang w:val="el-GR"/>
        </w:rPr>
        <w:t>CIS</w:t>
      </w:r>
      <w:r>
        <w:rPr>
          <w:lang w:val="el-GR"/>
        </w:rPr>
        <w:t xml:space="preserve">, που διεξήχθη το 2021 από το ΕΚΤ, </w:t>
      </w:r>
      <w:r w:rsidR="00AA1079" w:rsidRPr="00ED3B22">
        <w:rPr>
          <w:lang w:val="el-GR"/>
        </w:rPr>
        <w:t>ήταν 14.500 και πλέον επιχειρήσεις με 10 απασχολούμενους και άνω, σε διάφορους κλάδους οικονομικής δραστηριότητας της Βιομηχανίας και των Υπηρεσιών.</w:t>
      </w:r>
      <w:r w:rsidR="00FF33A0">
        <w:rPr>
          <w:lang w:val="el-GR"/>
        </w:rPr>
        <w:t xml:space="preserve"> Η έκδοση «</w:t>
      </w:r>
      <w:r w:rsidR="00FF33A0" w:rsidRPr="00A43B93">
        <w:rPr>
          <w:lang w:val="el-GR"/>
        </w:rPr>
        <w:t xml:space="preserve">Βασικοί </w:t>
      </w:r>
      <w:r w:rsidR="00FF33A0">
        <w:rPr>
          <w:lang w:val="el-GR"/>
        </w:rPr>
        <w:t>δ</w:t>
      </w:r>
      <w:r w:rsidR="00FF33A0" w:rsidRPr="00A43B93">
        <w:rPr>
          <w:lang w:val="el-GR"/>
        </w:rPr>
        <w:t xml:space="preserve">είκτες για την </w:t>
      </w:r>
      <w:r w:rsidR="00FF33A0">
        <w:rPr>
          <w:lang w:val="el-GR"/>
        </w:rPr>
        <w:t>κ</w:t>
      </w:r>
      <w:r w:rsidR="00FF33A0" w:rsidRPr="00A43B93">
        <w:rPr>
          <w:lang w:val="el-GR"/>
        </w:rPr>
        <w:t xml:space="preserve">αινοτομία στις </w:t>
      </w:r>
      <w:r w:rsidR="00FF33A0">
        <w:rPr>
          <w:lang w:val="el-GR"/>
        </w:rPr>
        <w:t>ε</w:t>
      </w:r>
      <w:r w:rsidR="00FF33A0" w:rsidRPr="00A43B93">
        <w:rPr>
          <w:lang w:val="el-GR"/>
        </w:rPr>
        <w:t xml:space="preserve">λληνικές </w:t>
      </w:r>
      <w:r w:rsidR="00FF33A0">
        <w:rPr>
          <w:lang w:val="el-GR"/>
        </w:rPr>
        <w:t>ε</w:t>
      </w:r>
      <w:r w:rsidR="00FF33A0" w:rsidRPr="00A43B93">
        <w:rPr>
          <w:lang w:val="el-GR"/>
        </w:rPr>
        <w:t>πιχειρήσεις 201</w:t>
      </w:r>
      <w:r w:rsidR="00FF33A0" w:rsidRPr="00C26642">
        <w:rPr>
          <w:lang w:val="el-GR"/>
        </w:rPr>
        <w:t>8</w:t>
      </w:r>
      <w:r w:rsidR="00FF33A0" w:rsidRPr="00A43B93">
        <w:rPr>
          <w:lang w:val="el-GR"/>
        </w:rPr>
        <w:t>-20</w:t>
      </w:r>
      <w:r w:rsidR="00FF33A0" w:rsidRPr="00C26642">
        <w:rPr>
          <w:lang w:val="el-GR"/>
        </w:rPr>
        <w:t>20</w:t>
      </w:r>
      <w:r w:rsidR="00FF33A0" w:rsidRPr="00A43B93">
        <w:rPr>
          <w:lang w:val="el-GR"/>
        </w:rPr>
        <w:t>"</w:t>
      </w:r>
      <w:r w:rsidR="00FF33A0">
        <w:rPr>
          <w:lang w:val="el-GR"/>
        </w:rPr>
        <w:t xml:space="preserve"> διατίθεται στην ιστοσελίδα </w:t>
      </w:r>
      <w:hyperlink r:id="rId8" w:history="1">
        <w:r w:rsidR="00FF33A0" w:rsidRPr="00110B3C">
          <w:rPr>
            <w:rStyle w:val="Hyperlink"/>
            <w:lang w:val="el-GR"/>
          </w:rPr>
          <w:t>https://metrics.ekt.gr/publications/588</w:t>
        </w:r>
      </w:hyperlink>
      <w:r w:rsidR="00FF33A0">
        <w:rPr>
          <w:lang w:val="el-GR"/>
        </w:rPr>
        <w:t>.</w:t>
      </w:r>
    </w:p>
    <w:p w:rsidR="00AE3218" w:rsidRPr="00AE3218" w:rsidRDefault="00FF33A0" w:rsidP="00AE3218">
      <w:pPr>
        <w:spacing w:after="0" w:line="240" w:lineRule="auto"/>
        <w:jc w:val="both"/>
        <w:rPr>
          <w:sz w:val="16"/>
          <w:lang w:val="el-GR"/>
        </w:rPr>
      </w:pPr>
      <w:r>
        <w:rPr>
          <w:sz w:val="16"/>
          <w:lang w:val="el-GR"/>
        </w:rPr>
        <w:tab/>
      </w:r>
    </w:p>
    <w:p w:rsidR="00D63991" w:rsidRDefault="00AA1079" w:rsidP="00AE3218">
      <w:pPr>
        <w:spacing w:after="0" w:line="240" w:lineRule="auto"/>
        <w:jc w:val="both"/>
        <w:rPr>
          <w:lang w:val="el-GR"/>
        </w:rPr>
      </w:pPr>
      <w:r w:rsidRPr="00A43B93">
        <w:rPr>
          <w:lang w:val="el-GR"/>
        </w:rPr>
        <w:t>Όπως προκύπτει από τα αποτελέσματα της έρευνας,</w:t>
      </w:r>
      <w:r w:rsidR="00FF33A0">
        <w:rPr>
          <w:lang w:val="el-GR"/>
        </w:rPr>
        <w:t xml:space="preserve"> </w:t>
      </w:r>
      <w:r w:rsidRPr="00A43B93">
        <w:rPr>
          <w:lang w:val="el-GR"/>
        </w:rPr>
        <w:t>στην Ελλάδα την περίοδο 201</w:t>
      </w:r>
      <w:r w:rsidRPr="0097693F">
        <w:rPr>
          <w:lang w:val="el-GR"/>
        </w:rPr>
        <w:t>8</w:t>
      </w:r>
      <w:r w:rsidRPr="00A43B93">
        <w:rPr>
          <w:lang w:val="el-GR"/>
        </w:rPr>
        <w:t>-20</w:t>
      </w:r>
      <w:r w:rsidRPr="0097693F">
        <w:rPr>
          <w:lang w:val="el-GR"/>
        </w:rPr>
        <w:t>20</w:t>
      </w:r>
      <w:r>
        <w:rPr>
          <w:lang w:val="el-GR"/>
        </w:rPr>
        <w:t>,</w:t>
      </w:r>
      <w:r w:rsidRPr="00A43B93">
        <w:rPr>
          <w:lang w:val="el-GR"/>
        </w:rPr>
        <w:t xml:space="preserve"> το </w:t>
      </w:r>
      <w:r w:rsidRPr="0097693F">
        <w:rPr>
          <w:lang w:val="el-GR"/>
        </w:rPr>
        <w:t>72,6</w:t>
      </w:r>
      <w:r w:rsidRPr="00A43B93">
        <w:rPr>
          <w:lang w:val="el-GR"/>
        </w:rPr>
        <w:t xml:space="preserve">% των επιχειρήσεων καινοτομούν, </w:t>
      </w:r>
      <w:r w:rsidR="009B25E7">
        <w:rPr>
          <w:lang w:val="el-GR"/>
        </w:rPr>
        <w:t xml:space="preserve">εισάγοντας νέα ή βελτιωμένα </w:t>
      </w:r>
      <w:r w:rsidRPr="00A43B93">
        <w:rPr>
          <w:lang w:val="el-GR"/>
        </w:rPr>
        <w:t xml:space="preserve">προϊόντα </w:t>
      </w:r>
      <w:r w:rsidR="009B25E7">
        <w:rPr>
          <w:lang w:val="el-GR"/>
        </w:rPr>
        <w:t xml:space="preserve">και εφαρμόζοντας νέες </w:t>
      </w:r>
      <w:r w:rsidRPr="00A43B93">
        <w:rPr>
          <w:lang w:val="el-GR"/>
        </w:rPr>
        <w:t xml:space="preserve">επιχειρησιακές διαδικασίες. Το ποσοστό </w:t>
      </w:r>
      <w:r>
        <w:rPr>
          <w:lang w:val="el-GR"/>
        </w:rPr>
        <w:t xml:space="preserve">των </w:t>
      </w:r>
      <w:r w:rsidRPr="00A43B93">
        <w:rPr>
          <w:lang w:val="el-GR"/>
        </w:rPr>
        <w:t>καινοτόμων επιχειρήσεων παρουσιάζει ανοδική πορεία τα τελευταία έτη</w:t>
      </w:r>
      <w:r w:rsidR="009B25E7">
        <w:rPr>
          <w:lang w:val="el-GR"/>
        </w:rPr>
        <w:t xml:space="preserve"> και την </w:t>
      </w:r>
      <w:r w:rsidRPr="00A43B93">
        <w:rPr>
          <w:lang w:val="el-GR"/>
        </w:rPr>
        <w:t>περίοδο 20</w:t>
      </w:r>
      <w:r w:rsidRPr="0097693F">
        <w:rPr>
          <w:lang w:val="el-GR"/>
        </w:rPr>
        <w:t xml:space="preserve">18-2020 </w:t>
      </w:r>
      <w:r w:rsidRPr="00A43B93">
        <w:rPr>
          <w:lang w:val="el-GR"/>
        </w:rPr>
        <w:t xml:space="preserve">είναι αυξημένο κατά </w:t>
      </w:r>
      <w:r w:rsidRPr="0053557D">
        <w:rPr>
          <w:lang w:val="el-GR"/>
        </w:rPr>
        <w:t>12,3</w:t>
      </w:r>
      <w:r w:rsidRPr="00A43B93">
        <w:rPr>
          <w:lang w:val="el-GR"/>
        </w:rPr>
        <w:t xml:space="preserve"> ποσοστιαίες μονάδες σε σχέση με την αμέσως προηγούμενη περίοδο </w:t>
      </w:r>
      <w:r w:rsidRPr="0097693F">
        <w:rPr>
          <w:lang w:val="el-GR"/>
        </w:rPr>
        <w:t>2016-2018.</w:t>
      </w:r>
      <w:r w:rsidRPr="00A43B93">
        <w:rPr>
          <w:lang w:val="el-GR"/>
        </w:rPr>
        <w:t xml:space="preserve"> </w:t>
      </w:r>
      <w:r w:rsidR="00D63991" w:rsidRPr="009B25E7">
        <w:rPr>
          <w:lang w:val="el-GR"/>
        </w:rPr>
        <w:t xml:space="preserve">Η αύξηση </w:t>
      </w:r>
      <w:r w:rsidR="009B25E7">
        <w:rPr>
          <w:lang w:val="el-GR"/>
        </w:rPr>
        <w:t xml:space="preserve">αυτή </w:t>
      </w:r>
      <w:r w:rsidR="00D63991" w:rsidRPr="009B25E7">
        <w:rPr>
          <w:lang w:val="el-GR"/>
        </w:rPr>
        <w:t xml:space="preserve">είναι αξιοσημείωτη και </w:t>
      </w:r>
      <w:r w:rsidR="004E5854">
        <w:rPr>
          <w:lang w:val="el-GR"/>
        </w:rPr>
        <w:t xml:space="preserve">σχετίζεται με τις απαιτήσεις για νέα προϊόντα και </w:t>
      </w:r>
      <w:r w:rsidR="004E5854" w:rsidRPr="009B25E7">
        <w:rPr>
          <w:lang w:val="el-GR"/>
        </w:rPr>
        <w:t>επιχειρησιακές</w:t>
      </w:r>
      <w:r w:rsidR="004E5854">
        <w:rPr>
          <w:lang w:val="el-GR"/>
        </w:rPr>
        <w:t xml:space="preserve"> διαδικασίες που υιοθέτησαν </w:t>
      </w:r>
      <w:r w:rsidR="00D63991" w:rsidRPr="009B25E7">
        <w:rPr>
          <w:lang w:val="el-GR"/>
        </w:rPr>
        <w:t xml:space="preserve">οι ελληνικές επιχειρήσεις </w:t>
      </w:r>
      <w:r w:rsidR="009B25E7" w:rsidRPr="009B25E7">
        <w:rPr>
          <w:lang w:val="el-GR"/>
        </w:rPr>
        <w:t xml:space="preserve">λόγω </w:t>
      </w:r>
      <w:r w:rsidR="00D63991" w:rsidRPr="009B25E7">
        <w:rPr>
          <w:lang w:val="el-GR"/>
        </w:rPr>
        <w:t>τ</w:t>
      </w:r>
      <w:r w:rsidR="009B25E7" w:rsidRPr="009B25E7">
        <w:rPr>
          <w:lang w:val="el-GR"/>
        </w:rPr>
        <w:t>ων</w:t>
      </w:r>
      <w:r w:rsidR="00D63991" w:rsidRPr="009B25E7">
        <w:rPr>
          <w:lang w:val="el-GR"/>
        </w:rPr>
        <w:t xml:space="preserve"> οικονομικ</w:t>
      </w:r>
      <w:r w:rsidR="009B25E7" w:rsidRPr="009B25E7">
        <w:rPr>
          <w:lang w:val="el-GR"/>
        </w:rPr>
        <w:t xml:space="preserve">ών </w:t>
      </w:r>
      <w:r w:rsidR="00D63991" w:rsidRPr="009B25E7">
        <w:rPr>
          <w:lang w:val="el-GR"/>
        </w:rPr>
        <w:t>και κοινωνικ</w:t>
      </w:r>
      <w:r w:rsidR="009B25E7" w:rsidRPr="009B25E7">
        <w:rPr>
          <w:lang w:val="el-GR"/>
        </w:rPr>
        <w:t xml:space="preserve">ών </w:t>
      </w:r>
      <w:r w:rsidR="00D63991" w:rsidRPr="009B25E7">
        <w:rPr>
          <w:lang w:val="el-GR"/>
        </w:rPr>
        <w:t>συνθ</w:t>
      </w:r>
      <w:r w:rsidR="009B25E7" w:rsidRPr="009B25E7">
        <w:rPr>
          <w:lang w:val="el-GR"/>
        </w:rPr>
        <w:t xml:space="preserve">ηκών </w:t>
      </w:r>
      <w:r w:rsidR="00D63991" w:rsidRPr="009B25E7">
        <w:rPr>
          <w:lang w:val="el-GR"/>
        </w:rPr>
        <w:t>που επέφερε η πανδημία τ</w:t>
      </w:r>
      <w:r w:rsidR="009B25E7" w:rsidRPr="009B25E7">
        <w:rPr>
          <w:lang w:val="el-GR"/>
        </w:rPr>
        <w:t xml:space="preserve">ο 2020 </w:t>
      </w:r>
      <w:r w:rsidR="00D63991" w:rsidRPr="009B25E7">
        <w:rPr>
          <w:lang w:val="el-GR"/>
        </w:rPr>
        <w:t>(</w:t>
      </w:r>
      <w:r w:rsidR="00975A56">
        <w:rPr>
          <w:lang w:val="el-GR"/>
        </w:rPr>
        <w:t xml:space="preserve">έτος </w:t>
      </w:r>
      <w:r w:rsidR="00D63991" w:rsidRPr="009B25E7">
        <w:rPr>
          <w:lang w:val="el-GR"/>
        </w:rPr>
        <w:t>που ανήκει στην τριετία αναφοράς 2018-2020).</w:t>
      </w:r>
      <w:r w:rsidR="004E5854">
        <w:rPr>
          <w:lang w:val="el-GR"/>
        </w:rPr>
        <w:t xml:space="preserve"> </w:t>
      </w:r>
    </w:p>
    <w:p w:rsidR="00AE3218" w:rsidRPr="00AE3218" w:rsidRDefault="00AE3218" w:rsidP="00AE3218">
      <w:pPr>
        <w:spacing w:after="0" w:line="240" w:lineRule="auto"/>
        <w:jc w:val="both"/>
        <w:rPr>
          <w:sz w:val="16"/>
          <w:lang w:val="el-GR"/>
        </w:rPr>
      </w:pPr>
    </w:p>
    <w:p w:rsidR="00AA1079" w:rsidRDefault="00AA1079" w:rsidP="00AE3218">
      <w:pPr>
        <w:spacing w:after="0" w:line="240" w:lineRule="auto"/>
        <w:jc w:val="both"/>
        <w:rPr>
          <w:lang w:val="el-GR"/>
        </w:rPr>
      </w:pPr>
      <w:r w:rsidRPr="00A43B93">
        <w:rPr>
          <w:lang w:val="el-GR"/>
        </w:rPr>
        <w:t xml:space="preserve">Η βελτίωση των επιδόσεων των ελληνικών επιχειρήσεων ως προς την καινοτομία </w:t>
      </w:r>
      <w:r w:rsidR="004E5854">
        <w:rPr>
          <w:lang w:val="el-GR"/>
        </w:rPr>
        <w:t xml:space="preserve">είναι μεγαλύτερη στον τομέα των Υπηρεσιών. Την περίοδο </w:t>
      </w:r>
      <w:r w:rsidR="004E5854" w:rsidRPr="00E21A27">
        <w:rPr>
          <w:lang w:val="el-GR"/>
        </w:rPr>
        <w:t xml:space="preserve">2018-2020 </w:t>
      </w:r>
      <w:r w:rsidR="004E5854">
        <w:rPr>
          <w:lang w:val="el-GR"/>
        </w:rPr>
        <w:t xml:space="preserve">το </w:t>
      </w:r>
      <w:r w:rsidR="004E5854" w:rsidRPr="00E21A27">
        <w:rPr>
          <w:lang w:val="el-GR"/>
        </w:rPr>
        <w:t xml:space="preserve">ποσοστό καινοτόμων επιχειρήσεων </w:t>
      </w:r>
      <w:r w:rsidR="004E5854" w:rsidRPr="004E5854">
        <w:rPr>
          <w:lang w:val="el-GR"/>
        </w:rPr>
        <w:t xml:space="preserve">στον τομέα των Υπηρεσιών </w:t>
      </w:r>
      <w:r w:rsidR="004E5854" w:rsidRPr="00E21A27">
        <w:rPr>
          <w:lang w:val="el-GR"/>
        </w:rPr>
        <w:t>ανέρχεται σε 72,9%, σε σχέση με 58,9% την περίοδο 2016-2018, παρουσιάζοντας αύξηση κατά 14 ποσοστιαίες μονάδες.</w:t>
      </w:r>
      <w:r w:rsidR="004E5854" w:rsidRPr="009A250E">
        <w:rPr>
          <w:color w:val="FF0000"/>
          <w:lang w:val="el-GR"/>
        </w:rPr>
        <w:t xml:space="preserve"> </w:t>
      </w:r>
      <w:r w:rsidR="004E5854" w:rsidRPr="00295B7E">
        <w:rPr>
          <w:lang w:val="el-GR"/>
        </w:rPr>
        <w:t xml:space="preserve">Τα υψηλότερα ποσοστά καινοτόμων επιχειρήσεων καταγράφονται στον κλάδο </w:t>
      </w:r>
      <w:r w:rsidR="004E5854">
        <w:rPr>
          <w:lang w:val="el-GR"/>
        </w:rPr>
        <w:t>«</w:t>
      </w:r>
      <w:r w:rsidR="004E5854" w:rsidRPr="00295B7E">
        <w:rPr>
          <w:lang w:val="el-GR"/>
        </w:rPr>
        <w:t>Χρηματοπιστωτικές και ασφαλιστικές δραστηριότητες</w:t>
      </w:r>
      <w:r w:rsidR="004E5854">
        <w:rPr>
          <w:lang w:val="el-GR"/>
        </w:rPr>
        <w:t xml:space="preserve">» </w:t>
      </w:r>
      <w:r w:rsidR="004E5854" w:rsidRPr="00295B7E">
        <w:rPr>
          <w:lang w:val="el-GR"/>
        </w:rPr>
        <w:t xml:space="preserve">(78,9%) και στον κλάδο «Ενημέρωση και επικοινωνία» (78,4%), τον κατεξοχήν κλάδο των </w:t>
      </w:r>
      <w:r w:rsidR="00077CBD">
        <w:rPr>
          <w:lang w:val="el-GR"/>
        </w:rPr>
        <w:t>Τεχνολογιών Πληροφορίας και Επικοινωνιών (</w:t>
      </w:r>
      <w:r w:rsidR="004E5854" w:rsidRPr="00295B7E">
        <w:rPr>
          <w:lang w:val="el-GR"/>
        </w:rPr>
        <w:t>ΤΠΕ</w:t>
      </w:r>
      <w:r w:rsidR="00077CBD">
        <w:rPr>
          <w:lang w:val="el-GR"/>
        </w:rPr>
        <w:t>)</w:t>
      </w:r>
      <w:r w:rsidR="004E5854" w:rsidRPr="00295B7E">
        <w:rPr>
          <w:lang w:val="el-GR"/>
        </w:rPr>
        <w:t>.</w:t>
      </w:r>
    </w:p>
    <w:p w:rsidR="00AE3218" w:rsidRPr="00AE3218" w:rsidRDefault="00AE3218" w:rsidP="00AE3218">
      <w:pPr>
        <w:spacing w:after="0" w:line="240" w:lineRule="auto"/>
        <w:jc w:val="both"/>
        <w:rPr>
          <w:sz w:val="16"/>
          <w:lang w:val="el-GR"/>
        </w:rPr>
      </w:pPr>
    </w:p>
    <w:p w:rsidR="00AA1079" w:rsidRDefault="004E5854" w:rsidP="00AE3218">
      <w:pPr>
        <w:spacing w:after="0" w:line="240" w:lineRule="auto"/>
        <w:jc w:val="both"/>
        <w:rPr>
          <w:lang w:val="el-GR"/>
        </w:rPr>
      </w:pPr>
      <w:r>
        <w:rPr>
          <w:lang w:val="el-GR"/>
        </w:rPr>
        <w:t>Το ποσοστό καινοτομίας αυξάνεται και σ</w:t>
      </w:r>
      <w:r w:rsidRPr="00A43B93">
        <w:rPr>
          <w:lang w:val="el-GR"/>
        </w:rPr>
        <w:t xml:space="preserve">τον τομέα της Βιομηχανίας, </w:t>
      </w:r>
      <w:r w:rsidR="00FF52BE">
        <w:rPr>
          <w:lang w:val="el-GR"/>
        </w:rPr>
        <w:t xml:space="preserve">όπου </w:t>
      </w:r>
      <w:r w:rsidRPr="00A43B93">
        <w:rPr>
          <w:lang w:val="el-GR"/>
        </w:rPr>
        <w:t xml:space="preserve">το ποσοστό καινοτόμων επιχειρήσεων την περίοδο </w:t>
      </w:r>
      <w:r w:rsidRPr="009A250E">
        <w:rPr>
          <w:lang w:val="el-GR"/>
        </w:rPr>
        <w:t>2018-2020</w:t>
      </w:r>
      <w:r w:rsidRPr="00A43B93">
        <w:rPr>
          <w:lang w:val="el-GR"/>
        </w:rPr>
        <w:t xml:space="preserve"> ανέρχεται σε </w:t>
      </w:r>
      <w:r w:rsidRPr="009A250E">
        <w:rPr>
          <w:lang w:val="el-GR"/>
        </w:rPr>
        <w:t>72,1</w:t>
      </w:r>
      <w:r w:rsidRPr="00A43B93">
        <w:rPr>
          <w:lang w:val="el-GR"/>
        </w:rPr>
        <w:t xml:space="preserve">%, σε σχέση με </w:t>
      </w:r>
      <w:r w:rsidRPr="009A250E">
        <w:rPr>
          <w:lang w:val="el-GR"/>
        </w:rPr>
        <w:t>62,4</w:t>
      </w:r>
      <w:r w:rsidRPr="00A43B93">
        <w:rPr>
          <w:lang w:val="el-GR"/>
        </w:rPr>
        <w:t xml:space="preserve">% την περίοδο </w:t>
      </w:r>
      <w:r w:rsidRPr="009A250E">
        <w:rPr>
          <w:lang w:val="el-GR"/>
        </w:rPr>
        <w:t>2016-2018</w:t>
      </w:r>
      <w:r w:rsidRPr="00A43B93">
        <w:rPr>
          <w:lang w:val="el-GR"/>
        </w:rPr>
        <w:t xml:space="preserve">, παρουσιάζοντας αύξηση κατά </w:t>
      </w:r>
      <w:r w:rsidRPr="009A250E">
        <w:rPr>
          <w:lang w:val="el-GR"/>
        </w:rPr>
        <w:t>9,7</w:t>
      </w:r>
      <w:r w:rsidRPr="009A250E">
        <w:rPr>
          <w:color w:val="FF0000"/>
          <w:lang w:val="el-GR"/>
        </w:rPr>
        <w:t xml:space="preserve"> </w:t>
      </w:r>
      <w:r w:rsidRPr="00A43B93">
        <w:rPr>
          <w:lang w:val="el-GR"/>
        </w:rPr>
        <w:t>ποσοστιαίες μονάδες. Το υψηλότερο ποσοστό καινοτόμων επιχειρήσεων (</w:t>
      </w:r>
      <w:r w:rsidRPr="009A250E">
        <w:rPr>
          <w:lang w:val="el-GR"/>
        </w:rPr>
        <w:t>7</w:t>
      </w:r>
      <w:r w:rsidRPr="00A43B93">
        <w:rPr>
          <w:lang w:val="el-GR"/>
        </w:rPr>
        <w:t>2,9%) καταγράφεται στον πολυπληθή κλάδο της Μεταποίησης.</w:t>
      </w:r>
    </w:p>
    <w:p w:rsidR="00AE3218" w:rsidRPr="00AE3218" w:rsidRDefault="00AE3218" w:rsidP="00AE3218">
      <w:pPr>
        <w:spacing w:after="0" w:line="240" w:lineRule="auto"/>
        <w:jc w:val="both"/>
        <w:rPr>
          <w:sz w:val="16"/>
          <w:lang w:val="el-GR"/>
        </w:rPr>
      </w:pPr>
    </w:p>
    <w:p w:rsidR="009B25E7" w:rsidRDefault="00AA1079" w:rsidP="00AE3218">
      <w:pPr>
        <w:spacing w:after="0" w:line="240" w:lineRule="auto"/>
        <w:jc w:val="both"/>
        <w:rPr>
          <w:lang w:val="el-GR"/>
        </w:rPr>
      </w:pPr>
      <w:r w:rsidRPr="00C467DD">
        <w:rPr>
          <w:lang w:val="el-GR"/>
        </w:rPr>
        <w:t xml:space="preserve">Ιδιαίτερα σημαντική είναι η αύξηση </w:t>
      </w:r>
      <w:r w:rsidR="009B25E7" w:rsidRPr="00C451E6">
        <w:rPr>
          <w:lang w:val="el-GR"/>
        </w:rPr>
        <w:t>στην καινοτομία επιχειρησιακών διαδικασιών</w:t>
      </w:r>
      <w:r w:rsidR="009B25E7">
        <w:rPr>
          <w:lang w:val="el-GR"/>
        </w:rPr>
        <w:t>. Τ</w:t>
      </w:r>
      <w:r w:rsidR="009B25E7" w:rsidRPr="00C451E6">
        <w:rPr>
          <w:lang w:val="el-GR"/>
        </w:rPr>
        <w:t xml:space="preserve">ην περίοδο 2018-2020, </w:t>
      </w:r>
      <w:r w:rsidR="00EA5BD7">
        <w:rPr>
          <w:lang w:val="el-GR"/>
        </w:rPr>
        <w:t xml:space="preserve">το </w:t>
      </w:r>
      <w:r w:rsidR="009B25E7" w:rsidRPr="00C451E6">
        <w:rPr>
          <w:lang w:val="el-GR"/>
        </w:rPr>
        <w:t xml:space="preserve">ποσοστό των επιχειρήσεων </w:t>
      </w:r>
      <w:r w:rsidR="00EA5BD7">
        <w:rPr>
          <w:lang w:val="el-GR"/>
        </w:rPr>
        <w:t xml:space="preserve">με καινοτομίες επιχειρησιακών διαδικασιών ανέρχεται σε </w:t>
      </w:r>
      <w:r w:rsidR="00EA5BD7" w:rsidRPr="00C451E6">
        <w:rPr>
          <w:lang w:val="el-GR"/>
        </w:rPr>
        <w:t>66,7%</w:t>
      </w:r>
      <w:r w:rsidR="00EA5BD7">
        <w:rPr>
          <w:lang w:val="el-GR"/>
        </w:rPr>
        <w:t>,</w:t>
      </w:r>
      <w:r w:rsidR="00EA5BD7" w:rsidRPr="00C451E6">
        <w:rPr>
          <w:lang w:val="el-GR"/>
        </w:rPr>
        <w:t xml:space="preserve"> </w:t>
      </w:r>
      <w:r w:rsidR="009B25E7">
        <w:rPr>
          <w:lang w:val="el-GR"/>
        </w:rPr>
        <w:t xml:space="preserve">σε σχέση με 55,2% την περίοδο 2016-2018, παρουσιάζοντας αύξηση κατά 11,9 ποσοστιαίες μονάδες. </w:t>
      </w:r>
      <w:r w:rsidR="00EA5BD7">
        <w:rPr>
          <w:lang w:val="el-GR"/>
        </w:rPr>
        <w:t xml:space="preserve">Οι </w:t>
      </w:r>
      <w:r w:rsidR="009B25E7" w:rsidRPr="00C451E6">
        <w:rPr>
          <w:lang w:val="el-GR"/>
        </w:rPr>
        <w:t xml:space="preserve">νέες ή βελτιωμένες διαδικασίες </w:t>
      </w:r>
      <w:r w:rsidR="00EA5BD7">
        <w:rPr>
          <w:lang w:val="el-GR"/>
        </w:rPr>
        <w:t xml:space="preserve">αφορούσαν </w:t>
      </w:r>
      <w:r w:rsidR="009B25E7" w:rsidRPr="00C451E6">
        <w:rPr>
          <w:lang w:val="el-GR"/>
        </w:rPr>
        <w:t>επιχειρησιακές λειτουργίες όπως η οργάνωση της εργασίας</w:t>
      </w:r>
      <w:r w:rsidR="009B25E7">
        <w:rPr>
          <w:lang w:val="el-GR"/>
        </w:rPr>
        <w:t xml:space="preserve">, </w:t>
      </w:r>
      <w:r w:rsidR="009B25E7" w:rsidRPr="00C451E6">
        <w:rPr>
          <w:lang w:val="el-GR"/>
        </w:rPr>
        <w:t>το μάρκετινγκ</w:t>
      </w:r>
      <w:r w:rsidR="009B25E7">
        <w:rPr>
          <w:lang w:val="el-GR"/>
        </w:rPr>
        <w:t>,</w:t>
      </w:r>
      <w:r w:rsidR="009B25E7" w:rsidRPr="00C451E6">
        <w:rPr>
          <w:lang w:val="el-GR"/>
        </w:rPr>
        <w:t xml:space="preserve"> η εφοδιαστική, οι εφαρμογές πληροφορικής</w:t>
      </w:r>
      <w:r w:rsidR="009B25E7">
        <w:rPr>
          <w:lang w:val="el-GR"/>
        </w:rPr>
        <w:t>,</w:t>
      </w:r>
      <w:r w:rsidR="009B25E7" w:rsidRPr="00C451E6">
        <w:rPr>
          <w:lang w:val="el-GR"/>
        </w:rPr>
        <w:t xml:space="preserve"> η παραγωγή αγαθών και υπηρεσιών </w:t>
      </w:r>
      <w:r w:rsidR="009B25E7">
        <w:rPr>
          <w:lang w:val="el-GR"/>
        </w:rPr>
        <w:t xml:space="preserve">και </w:t>
      </w:r>
      <w:r w:rsidR="009B25E7" w:rsidRPr="00C451E6">
        <w:rPr>
          <w:lang w:val="el-GR"/>
        </w:rPr>
        <w:t xml:space="preserve">η οικονομική διαχείριση. </w:t>
      </w:r>
    </w:p>
    <w:p w:rsidR="00AE3218" w:rsidRPr="00AE3218" w:rsidRDefault="00AE3218" w:rsidP="00AE3218">
      <w:pPr>
        <w:spacing w:after="0" w:line="240" w:lineRule="auto"/>
        <w:jc w:val="both"/>
        <w:rPr>
          <w:sz w:val="16"/>
          <w:lang w:val="el-GR"/>
        </w:rPr>
      </w:pPr>
    </w:p>
    <w:p w:rsidR="00077CBD" w:rsidRDefault="009B25E7" w:rsidP="00AE3218">
      <w:pPr>
        <w:spacing w:after="0" w:line="240" w:lineRule="auto"/>
        <w:jc w:val="both"/>
        <w:rPr>
          <w:lang w:val="el-GR"/>
        </w:rPr>
      </w:pPr>
      <w:r w:rsidRPr="00C451E6">
        <w:rPr>
          <w:lang w:val="el-GR"/>
        </w:rPr>
        <w:t xml:space="preserve">Υψηλές επιδόσεις καταγράφουν οι επιχειρήσεις </w:t>
      </w:r>
      <w:r w:rsidR="00EA5BD7">
        <w:rPr>
          <w:lang w:val="el-GR"/>
        </w:rPr>
        <w:t xml:space="preserve">και </w:t>
      </w:r>
      <w:r w:rsidR="00AA1079" w:rsidRPr="00C467DD">
        <w:rPr>
          <w:lang w:val="el-GR"/>
        </w:rPr>
        <w:t>στην καινοτομία προϊόντων</w:t>
      </w:r>
      <w:r w:rsidR="00AA1079">
        <w:rPr>
          <w:lang w:val="el-GR"/>
        </w:rPr>
        <w:t>.</w:t>
      </w:r>
      <w:r w:rsidR="00AA1079" w:rsidRPr="00242816">
        <w:rPr>
          <w:lang w:val="el-GR" w:eastAsia="el-GR"/>
        </w:rPr>
        <w:t xml:space="preserve"> Την περίοδο 2018-2020, το ποσοστό επιχειρήσεων στην Ελλάδα με καινοτομίες προϊόντων ανέρχεται σε 48,4%, σε σχέση με 42,5% την περίοδο 2016-2018, παρουσιάζοντας αύξηση κατά 5,9 ποσοστιαίες μονάδες. Σε σχέση με την πρώτη περίοδο αναφοράς 2010-2012 το ποσοστό αυτό είναι υπερδιπλάσιο</w:t>
      </w:r>
      <w:r w:rsidR="00AA1079" w:rsidRPr="00C467DD">
        <w:rPr>
          <w:lang w:val="el-GR"/>
        </w:rPr>
        <w:t>.</w:t>
      </w:r>
    </w:p>
    <w:p w:rsidR="00EA5BD7" w:rsidRDefault="00FF52BE" w:rsidP="00AE3218">
      <w:pPr>
        <w:spacing w:after="0" w:line="240" w:lineRule="auto"/>
        <w:jc w:val="both"/>
        <w:rPr>
          <w:lang w:val="el-GR"/>
        </w:rPr>
      </w:pPr>
      <w:r>
        <w:rPr>
          <w:lang w:val="el-GR"/>
        </w:rPr>
        <w:lastRenderedPageBreak/>
        <w:t xml:space="preserve">Την περίοδο 2018-2020 </w:t>
      </w:r>
      <w:r w:rsidR="00AA1079" w:rsidRPr="00C451E6">
        <w:rPr>
          <w:lang w:val="el-GR"/>
        </w:rPr>
        <w:t>το ποσοστό (%) των επιχειρήσεων που συνεργάστηκαν με άλλες επιχειρήσεις ή οργανισμούς για την υλοποίηση καινοτομικών δραστηριοτήτων ανέρχεται σε 20,2%</w:t>
      </w:r>
      <w:r>
        <w:rPr>
          <w:lang w:val="el-GR"/>
        </w:rPr>
        <w:t>, παρουσιάζ</w:t>
      </w:r>
      <w:r w:rsidR="00077CBD">
        <w:rPr>
          <w:lang w:val="el-GR"/>
        </w:rPr>
        <w:t xml:space="preserve">οντας </w:t>
      </w:r>
      <w:r>
        <w:rPr>
          <w:lang w:val="el-GR"/>
        </w:rPr>
        <w:t>μικρή μείωση σε σχέση με την περίοδο 2016-2018 (ποσοστό 21,4%)</w:t>
      </w:r>
      <w:r w:rsidR="00AA1079" w:rsidRPr="00C451E6">
        <w:rPr>
          <w:lang w:val="el-GR"/>
        </w:rPr>
        <w:t>. Ο βαθμός συνεργασίας αυξάνεται με το μέγεθος των επιχειρήσεων. Οι μεγάλες επιχειρήσεις αναπτύσσουν καινοτομικές δραστηριότητες συνεργαζόμενες σε ποσοστό 58,3%, έναντι μόλις 17,1% των μικρών επιχειρήσεων και 32,2% των μεσαίων. Ως καινοτομικές χαρακτηρίζονται οι αναπτυξιακές, οικονομικές και εμπορικές δραστηριότητες μιας επιχείρησης που στοχεύουν στην εισαγωγή καινοτομιών, είτε σε προϊόντα είτε σε επιχειρησιακές διαδικασίες.</w:t>
      </w:r>
      <w:r w:rsidR="00EA5BD7" w:rsidRPr="00EA5BD7">
        <w:rPr>
          <w:lang w:val="el-GR"/>
        </w:rPr>
        <w:t xml:space="preserve"> </w:t>
      </w:r>
    </w:p>
    <w:p w:rsidR="00AE3218" w:rsidRPr="00AE3218" w:rsidRDefault="00AE3218" w:rsidP="00AE3218">
      <w:pPr>
        <w:spacing w:after="0" w:line="240" w:lineRule="auto"/>
        <w:jc w:val="both"/>
        <w:rPr>
          <w:sz w:val="16"/>
          <w:lang w:val="el-GR"/>
        </w:rPr>
      </w:pPr>
    </w:p>
    <w:p w:rsidR="00EA5BD7" w:rsidRPr="00013988" w:rsidRDefault="00FF52BE" w:rsidP="00AE3218">
      <w:pPr>
        <w:spacing w:after="0" w:line="240" w:lineRule="auto"/>
        <w:jc w:val="both"/>
        <w:rPr>
          <w:lang w:val="el-GR"/>
        </w:rPr>
      </w:pPr>
      <w:r w:rsidRPr="00C451E6">
        <w:rPr>
          <w:lang w:val="el-GR"/>
        </w:rPr>
        <w:t>Τέλος,</w:t>
      </w:r>
      <w:r>
        <w:rPr>
          <w:lang w:val="el-GR"/>
        </w:rPr>
        <w:t xml:space="preserve"> ό</w:t>
      </w:r>
      <w:r w:rsidR="00EA5BD7">
        <w:rPr>
          <w:lang w:val="el-GR"/>
        </w:rPr>
        <w:t>σον αφορά την περιφερειακή κατανομή των καινοτόμων επιχειρήσεων, τ</w:t>
      </w:r>
      <w:r w:rsidR="00EA5BD7" w:rsidRPr="00013988">
        <w:rPr>
          <w:lang w:val="el-GR"/>
        </w:rPr>
        <w:t>ην περίοδο 2018-2020 ποσοστά καινοτόμων επιχειρήσεων υψηλότερα από τη μέση εθνική επίδοση (72,6%), καταγράφονται στην Περιφέρεια Κεντρικής Μακεδονίας (78,0%), στην Περιφέρεια Θεσσαλίας (74,7%), στην Περιφέρεια Κρήτης (74,5%) και στην Περιφέρεια Δυτικής Ελλάδας (74,2%). Σε όλες τις Περιφέρειες τα ποσοστά καινοτομίας είναι υψηλότερα από 50%.</w:t>
      </w:r>
    </w:p>
    <w:p w:rsidR="00AA1079" w:rsidRPr="00AE3218" w:rsidRDefault="00AA1079" w:rsidP="00AE3218">
      <w:pPr>
        <w:spacing w:after="0" w:line="240" w:lineRule="auto"/>
        <w:jc w:val="both"/>
        <w:rPr>
          <w:sz w:val="16"/>
          <w:lang w:val="el-GR"/>
        </w:rPr>
      </w:pPr>
    </w:p>
    <w:p w:rsidR="00332C29" w:rsidRPr="00332C29" w:rsidRDefault="00332C29" w:rsidP="00AE3218">
      <w:pPr>
        <w:spacing w:after="0" w:line="240" w:lineRule="auto"/>
        <w:jc w:val="both"/>
        <w:rPr>
          <w:b/>
          <w:lang w:val="el-GR"/>
        </w:rPr>
      </w:pPr>
      <w:r w:rsidRPr="00332C29">
        <w:rPr>
          <w:b/>
          <w:lang w:val="el-GR"/>
        </w:rPr>
        <w:t xml:space="preserve">Ο ρόλος του ΕΚΤ </w:t>
      </w:r>
    </w:p>
    <w:p w:rsidR="00AE3218" w:rsidRDefault="000A473B" w:rsidP="00AE3218">
      <w:pPr>
        <w:spacing w:after="0" w:line="240" w:lineRule="auto"/>
        <w:jc w:val="both"/>
        <w:rPr>
          <w:lang w:val="el-GR"/>
        </w:rPr>
      </w:pPr>
      <w:r w:rsidRPr="000A473B">
        <w:rPr>
          <w:lang w:val="el-GR"/>
        </w:rPr>
        <w:t xml:space="preserve">Η δημοσίευση των δεικτών </w:t>
      </w:r>
      <w:r w:rsidR="00077CBD">
        <w:rPr>
          <w:lang w:val="el-GR"/>
        </w:rPr>
        <w:t xml:space="preserve">για τις καινοτόμες επιχειρήσεις </w:t>
      </w:r>
      <w:r w:rsidRPr="000A473B">
        <w:rPr>
          <w:lang w:val="el-GR"/>
        </w:rPr>
        <w:t xml:space="preserve">εντάσσεται στο πλαίσιο της τακτικής παραγωγής των επίσημων στατιστικών για την Έρευνα, Ανάπτυξη και Καινοτομία στην Ελλάδα, που πραγματοποιεί το ΕΚΤ, ως φορέας και εθνική αρχή του Ελληνικού Στατιστικού Συστήματος, με τη συνεργασία της Ελληνικής Στατιστικής Αρχής. </w:t>
      </w:r>
      <w:r>
        <w:rPr>
          <w:lang w:val="el-GR"/>
        </w:rPr>
        <w:t xml:space="preserve">Οι </w:t>
      </w:r>
      <w:r w:rsidRPr="00A43B93">
        <w:rPr>
          <w:lang w:val="el-GR"/>
        </w:rPr>
        <w:t xml:space="preserve">σχετικοί δείκτες δημοσιεύονται σε έντυπες και ηλεκτρονικές εκδόσεις του ΕΚΤ που διατίθενται στον δικτυακό τόπο </w:t>
      </w:r>
      <w:hyperlink r:id="rId9" w:history="1">
        <w:r w:rsidRPr="000D1C06">
          <w:rPr>
            <w:rStyle w:val="Hyperlink"/>
            <w:lang w:val="el-GR"/>
          </w:rPr>
          <w:t>http://metrics.ekt.gr</w:t>
        </w:r>
      </w:hyperlink>
      <w:r w:rsidRPr="00A43B93">
        <w:rPr>
          <w:lang w:val="el-GR"/>
        </w:rPr>
        <w:t xml:space="preserve">. </w:t>
      </w:r>
    </w:p>
    <w:p w:rsidR="001944B8" w:rsidRPr="00AE3218" w:rsidRDefault="001944B8" w:rsidP="00AE3218">
      <w:pPr>
        <w:spacing w:after="0" w:line="240" w:lineRule="auto"/>
        <w:jc w:val="both"/>
        <w:rPr>
          <w:sz w:val="16"/>
          <w:lang w:val="el-GR"/>
        </w:rPr>
      </w:pPr>
    </w:p>
    <w:p w:rsidR="000A473B" w:rsidRDefault="000A473B" w:rsidP="00AE3218">
      <w:pPr>
        <w:spacing w:after="0" w:line="240" w:lineRule="auto"/>
        <w:jc w:val="both"/>
        <w:rPr>
          <w:color w:val="5B9BD5" w:themeColor="accent1"/>
          <w:lang w:val="el-GR"/>
        </w:rPr>
      </w:pPr>
      <w:r w:rsidRPr="00A43B93">
        <w:rPr>
          <w:lang w:val="el-GR"/>
        </w:rPr>
        <w:t>Η έρευνα</w:t>
      </w:r>
      <w:r w:rsidR="00077CBD">
        <w:rPr>
          <w:lang w:val="el-GR"/>
        </w:rPr>
        <w:t xml:space="preserve"> </w:t>
      </w:r>
      <w:r w:rsidR="00077CBD">
        <w:t>CIS</w:t>
      </w:r>
      <w:r w:rsidR="00077CBD" w:rsidRPr="00077CBD">
        <w:rPr>
          <w:lang w:val="el-GR"/>
        </w:rPr>
        <w:t xml:space="preserve"> </w:t>
      </w:r>
      <w:r w:rsidR="001944B8">
        <w:rPr>
          <w:lang w:val="el-GR"/>
        </w:rPr>
        <w:t xml:space="preserve">για την καινοτομία στις ελληνικές επιχειρήσεις </w:t>
      </w:r>
      <w:r w:rsidRPr="00A43B93">
        <w:rPr>
          <w:lang w:val="el-GR"/>
        </w:rPr>
        <w:t xml:space="preserve">πραγματοποιήθηκε με βάση τις μεθοδολογικές οδηγίες του νέου αναθεωρημένου εγχειριδίου </w:t>
      </w:r>
      <w:proofErr w:type="spellStart"/>
      <w:r w:rsidRPr="00A43B93">
        <w:rPr>
          <w:lang w:val="el-GR"/>
        </w:rPr>
        <w:t>Oslo</w:t>
      </w:r>
      <w:proofErr w:type="spellEnd"/>
      <w:r w:rsidRPr="00A43B93">
        <w:rPr>
          <w:lang w:val="el-GR"/>
        </w:rPr>
        <w:t xml:space="preserve"> </w:t>
      </w:r>
      <w:proofErr w:type="spellStart"/>
      <w:r w:rsidRPr="00A43B93">
        <w:rPr>
          <w:lang w:val="el-GR"/>
        </w:rPr>
        <w:t>Manual</w:t>
      </w:r>
      <w:proofErr w:type="spellEnd"/>
      <w:r w:rsidRPr="00A43B93">
        <w:rPr>
          <w:lang w:val="el-GR"/>
        </w:rPr>
        <w:t xml:space="preserve"> 2018 “</w:t>
      </w:r>
      <w:proofErr w:type="spellStart"/>
      <w:r w:rsidRPr="00A43B93">
        <w:rPr>
          <w:lang w:val="el-GR"/>
        </w:rPr>
        <w:t>Guidelines</w:t>
      </w:r>
      <w:proofErr w:type="spellEnd"/>
      <w:r w:rsidRPr="00A43B93">
        <w:rPr>
          <w:lang w:val="el-GR"/>
        </w:rPr>
        <w:t xml:space="preserve"> for </w:t>
      </w:r>
      <w:proofErr w:type="spellStart"/>
      <w:r w:rsidRPr="00A43B93">
        <w:rPr>
          <w:lang w:val="el-GR"/>
        </w:rPr>
        <w:t>collecting</w:t>
      </w:r>
      <w:proofErr w:type="spellEnd"/>
      <w:r w:rsidRPr="00A43B93">
        <w:rPr>
          <w:lang w:val="el-GR"/>
        </w:rPr>
        <w:t xml:space="preserve">, </w:t>
      </w:r>
      <w:proofErr w:type="spellStart"/>
      <w:r w:rsidRPr="00A43B93">
        <w:rPr>
          <w:lang w:val="el-GR"/>
        </w:rPr>
        <w:t>reporting</w:t>
      </w:r>
      <w:proofErr w:type="spellEnd"/>
      <w:r w:rsidRPr="00A43B93">
        <w:rPr>
          <w:lang w:val="el-GR"/>
        </w:rPr>
        <w:t xml:space="preserve"> and </w:t>
      </w:r>
      <w:proofErr w:type="spellStart"/>
      <w:r w:rsidRPr="00A43B93">
        <w:rPr>
          <w:lang w:val="el-GR"/>
        </w:rPr>
        <w:t>using</w:t>
      </w:r>
      <w:proofErr w:type="spellEnd"/>
      <w:r w:rsidRPr="00A43B93">
        <w:rPr>
          <w:lang w:val="el-GR"/>
        </w:rPr>
        <w:t xml:space="preserve"> </w:t>
      </w:r>
      <w:proofErr w:type="spellStart"/>
      <w:r w:rsidRPr="00A43B93">
        <w:rPr>
          <w:lang w:val="el-GR"/>
        </w:rPr>
        <w:t>data</w:t>
      </w:r>
      <w:proofErr w:type="spellEnd"/>
      <w:r w:rsidRPr="00A43B93">
        <w:rPr>
          <w:lang w:val="el-GR"/>
        </w:rPr>
        <w:t xml:space="preserve"> on </w:t>
      </w:r>
      <w:proofErr w:type="spellStart"/>
      <w:r w:rsidRPr="00A43B93">
        <w:rPr>
          <w:lang w:val="el-GR"/>
        </w:rPr>
        <w:t>Innovation</w:t>
      </w:r>
      <w:proofErr w:type="spellEnd"/>
      <w:r w:rsidRPr="00A43B93">
        <w:rPr>
          <w:lang w:val="el-GR"/>
        </w:rPr>
        <w:t xml:space="preserve">”, σε κοινή έκδοση της Eurostat και του ΟΟΣΑ. </w:t>
      </w:r>
      <w:r w:rsidR="00077CBD">
        <w:rPr>
          <w:lang w:val="el-GR"/>
        </w:rPr>
        <w:t>Σημειώνεται ότι τ</w:t>
      </w:r>
      <w:r w:rsidRPr="000A473B">
        <w:rPr>
          <w:lang w:val="el-GR"/>
        </w:rPr>
        <w:t xml:space="preserve">ο ΕΚΤ απέδωσε στην ελληνική γλώσσα την πλέον πρόσφατη έκδοση του </w:t>
      </w:r>
      <w:proofErr w:type="spellStart"/>
      <w:r w:rsidRPr="000A473B">
        <w:rPr>
          <w:lang w:val="el-GR"/>
        </w:rPr>
        <w:t>Eγχειριδίου</w:t>
      </w:r>
      <w:proofErr w:type="spellEnd"/>
      <w:r w:rsidRPr="000A473B">
        <w:rPr>
          <w:lang w:val="el-GR"/>
        </w:rPr>
        <w:t xml:space="preserve"> του </w:t>
      </w:r>
      <w:proofErr w:type="spellStart"/>
      <w:r w:rsidRPr="000A473B">
        <w:rPr>
          <w:lang w:val="el-GR"/>
        </w:rPr>
        <w:t>Όσλο</w:t>
      </w:r>
      <w:proofErr w:type="spellEnd"/>
      <w:r w:rsidRPr="000A473B">
        <w:rPr>
          <w:lang w:val="el-GR"/>
        </w:rPr>
        <w:t xml:space="preserve">, του διεθνούς οδηγού αναφοράς για τη μέτρηση της καινοτομίας. Η έκδοση με τίτλο: «Εγχειρίδιο του </w:t>
      </w:r>
      <w:proofErr w:type="spellStart"/>
      <w:r w:rsidRPr="000A473B">
        <w:rPr>
          <w:lang w:val="el-GR"/>
        </w:rPr>
        <w:t>Όσλο</w:t>
      </w:r>
      <w:proofErr w:type="spellEnd"/>
      <w:r w:rsidRPr="000A473B">
        <w:rPr>
          <w:lang w:val="el-GR"/>
        </w:rPr>
        <w:t xml:space="preserve"> 2018, Κατευθυντήριες γραμμές για τη συλλογή, την παρουσίαση και τη χρήση στατιστικών δεδομένων για την καινοτομία, 4η έκδοση», είναι διαθέσιμη στη διεύθυνση </w:t>
      </w:r>
      <w:hyperlink r:id="rId10" w:history="1">
        <w:r w:rsidRPr="00530961">
          <w:rPr>
            <w:rStyle w:val="Hyperlink"/>
            <w:lang w:val="el-GR"/>
          </w:rPr>
          <w:t>https://metrics.ekt.gr/publications/552</w:t>
        </w:r>
      </w:hyperlink>
      <w:r w:rsidRPr="00530961">
        <w:rPr>
          <w:color w:val="5B9BD5" w:themeColor="accent1"/>
          <w:lang w:val="el-GR"/>
        </w:rPr>
        <w:t>.</w:t>
      </w:r>
    </w:p>
    <w:p w:rsidR="00AE3218" w:rsidRPr="00AE3218" w:rsidRDefault="00AE3218" w:rsidP="00AE3218">
      <w:pPr>
        <w:spacing w:after="0" w:line="240" w:lineRule="auto"/>
        <w:jc w:val="both"/>
        <w:rPr>
          <w:color w:val="5B9BD5" w:themeColor="accent1"/>
          <w:sz w:val="16"/>
          <w:lang w:val="el-GR"/>
        </w:rPr>
      </w:pPr>
    </w:p>
    <w:p w:rsidR="00332C29" w:rsidRDefault="00077CBD" w:rsidP="00AE3218">
      <w:pPr>
        <w:spacing w:after="0" w:line="240" w:lineRule="auto"/>
        <w:jc w:val="both"/>
        <w:rPr>
          <w:lang w:val="el-GR"/>
        </w:rPr>
      </w:pPr>
      <w:r>
        <w:rPr>
          <w:lang w:val="el-GR"/>
        </w:rPr>
        <w:t>Τ</w:t>
      </w:r>
      <w:r w:rsidR="00BE185A" w:rsidRPr="00A43B93">
        <w:rPr>
          <w:lang w:val="el-GR"/>
        </w:rPr>
        <w:t>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Eurostat και τον ΟΟΣΑ</w:t>
      </w:r>
      <w:r w:rsidR="00332C29">
        <w:rPr>
          <w:lang w:val="el-GR"/>
        </w:rPr>
        <w:t xml:space="preserve">, από όπου τροφοδοτούν εμβληματικές εκδόσεις μεταξύ των οποίων </w:t>
      </w:r>
      <w:r w:rsidR="000A473B">
        <w:t>to</w:t>
      </w:r>
      <w:r w:rsidR="000A473B" w:rsidRPr="00013988">
        <w:rPr>
          <w:lang w:val="el-GR"/>
        </w:rPr>
        <w:t xml:space="preserve"> </w:t>
      </w:r>
      <w:r w:rsidR="000A473B">
        <w:rPr>
          <w:lang w:val="en-GB"/>
        </w:rPr>
        <w:t>European</w:t>
      </w:r>
      <w:r w:rsidR="000A473B" w:rsidRPr="00013988">
        <w:rPr>
          <w:lang w:val="el-GR"/>
        </w:rPr>
        <w:t xml:space="preserve"> </w:t>
      </w:r>
      <w:r w:rsidR="000A473B">
        <w:rPr>
          <w:lang w:val="en-GB"/>
        </w:rPr>
        <w:t>Innovation</w:t>
      </w:r>
      <w:r w:rsidR="000A473B" w:rsidRPr="00013988">
        <w:rPr>
          <w:lang w:val="el-GR"/>
        </w:rPr>
        <w:t xml:space="preserve"> </w:t>
      </w:r>
      <w:r w:rsidR="000A473B">
        <w:rPr>
          <w:lang w:val="en-GB"/>
        </w:rPr>
        <w:t>Scoreboard</w:t>
      </w:r>
      <w:r w:rsidR="00BE185A" w:rsidRPr="00A43B93">
        <w:rPr>
          <w:lang w:val="el-GR"/>
        </w:rPr>
        <w:t xml:space="preserve">. </w:t>
      </w:r>
      <w:r w:rsidR="00332C29" w:rsidRPr="000A473B">
        <w:rPr>
          <w:lang w:val="el-GR"/>
        </w:rPr>
        <w:t xml:space="preserve">Το ΕΚΤ, </w:t>
      </w:r>
      <w:r w:rsidR="000A473B" w:rsidRPr="000A473B">
        <w:rPr>
          <w:lang w:val="el-GR"/>
        </w:rPr>
        <w:t xml:space="preserve">πρόσφατα δημοσίευσε σε εξειδικευμένη έκδοση με τίτλο «H θέση της Ελλάδας στο European </w:t>
      </w:r>
      <w:proofErr w:type="spellStart"/>
      <w:r w:rsidR="000A473B" w:rsidRPr="000A473B">
        <w:rPr>
          <w:lang w:val="el-GR"/>
        </w:rPr>
        <w:t>Innovation</w:t>
      </w:r>
      <w:proofErr w:type="spellEnd"/>
      <w:r w:rsidR="000A473B" w:rsidRPr="000A473B">
        <w:rPr>
          <w:lang w:val="el-GR"/>
        </w:rPr>
        <w:t xml:space="preserve"> </w:t>
      </w:r>
      <w:proofErr w:type="spellStart"/>
      <w:r w:rsidR="000A473B" w:rsidRPr="000A473B">
        <w:rPr>
          <w:lang w:val="el-GR"/>
        </w:rPr>
        <w:t>Scoreboard</w:t>
      </w:r>
      <w:proofErr w:type="spellEnd"/>
      <w:r w:rsidR="000A473B" w:rsidRPr="000A473B">
        <w:rPr>
          <w:lang w:val="el-GR"/>
        </w:rPr>
        <w:t xml:space="preserve"> (EIS) 2014-2021», στοιχεία για τη θέση της Ελλάδας στο European </w:t>
      </w:r>
      <w:proofErr w:type="spellStart"/>
      <w:r w:rsidR="000A473B" w:rsidRPr="000A473B">
        <w:rPr>
          <w:lang w:val="el-GR"/>
        </w:rPr>
        <w:t>Innovation</w:t>
      </w:r>
      <w:proofErr w:type="spellEnd"/>
      <w:r w:rsidR="000A473B" w:rsidRPr="000A473B">
        <w:rPr>
          <w:lang w:val="el-GR"/>
        </w:rPr>
        <w:t xml:space="preserve"> </w:t>
      </w:r>
      <w:proofErr w:type="spellStart"/>
      <w:r w:rsidR="000A473B" w:rsidRPr="000A473B">
        <w:rPr>
          <w:lang w:val="el-GR"/>
        </w:rPr>
        <w:t>Scoreboard</w:t>
      </w:r>
      <w:proofErr w:type="spellEnd"/>
      <w:r w:rsidR="000A473B" w:rsidRPr="000A473B">
        <w:rPr>
          <w:lang w:val="el-GR"/>
        </w:rPr>
        <w:t xml:space="preserve"> το 2021, </w:t>
      </w:r>
      <w:r w:rsidR="00332C29" w:rsidRPr="000A473B">
        <w:rPr>
          <w:lang w:val="el-GR"/>
        </w:rPr>
        <w:t>κα</w:t>
      </w:r>
      <w:r w:rsidR="000A473B" w:rsidRPr="000A473B">
        <w:rPr>
          <w:lang w:val="el-GR"/>
        </w:rPr>
        <w:t xml:space="preserve">θώς και </w:t>
      </w:r>
      <w:r w:rsidR="00332C29" w:rsidRPr="000A473B">
        <w:rPr>
          <w:lang w:val="el-GR"/>
        </w:rPr>
        <w:t>τα διαχρονικά δεδομένα τ</w:t>
      </w:r>
      <w:r w:rsidR="000A473B" w:rsidRPr="000A473B">
        <w:rPr>
          <w:lang w:val="el-GR"/>
        </w:rPr>
        <w:t xml:space="preserve">ων επιμέρους </w:t>
      </w:r>
      <w:r w:rsidR="00332C29" w:rsidRPr="000A473B">
        <w:rPr>
          <w:lang w:val="el-GR"/>
        </w:rPr>
        <w:t>δε</w:t>
      </w:r>
      <w:r w:rsidR="000A473B" w:rsidRPr="000A473B">
        <w:rPr>
          <w:lang w:val="el-GR"/>
        </w:rPr>
        <w:t xml:space="preserve">ικτών </w:t>
      </w:r>
      <w:r w:rsidR="00332C29" w:rsidRPr="000A473B">
        <w:rPr>
          <w:lang w:val="el-GR"/>
        </w:rPr>
        <w:t xml:space="preserve">για το χρονικό διάστημα 2014-2021. </w:t>
      </w:r>
      <w:r w:rsidR="000A473B">
        <w:rPr>
          <w:lang w:val="el-GR"/>
        </w:rPr>
        <w:t xml:space="preserve">Η έκδοση διατίθεται στη διεύθυνση </w:t>
      </w:r>
      <w:hyperlink r:id="rId11" w:history="1">
        <w:r w:rsidR="000A473B" w:rsidRPr="00110B3C">
          <w:rPr>
            <w:rStyle w:val="Hyperlink"/>
            <w:lang w:val="el-GR"/>
          </w:rPr>
          <w:t>https://metrics.ekt.gr/publications/567</w:t>
        </w:r>
      </w:hyperlink>
      <w:r w:rsidR="000A473B">
        <w:rPr>
          <w:lang w:val="el-GR"/>
        </w:rPr>
        <w:t xml:space="preserve"> </w:t>
      </w:r>
      <w:r w:rsidR="00794B33">
        <w:rPr>
          <w:lang w:val="el-GR"/>
        </w:rPr>
        <w:t>.</w:t>
      </w:r>
      <w:r w:rsidR="000A473B">
        <w:rPr>
          <w:lang w:val="el-GR"/>
        </w:rPr>
        <w:t xml:space="preserve"> </w:t>
      </w:r>
    </w:p>
    <w:p w:rsidR="00AE3218" w:rsidRPr="00AE3218" w:rsidRDefault="00AE3218" w:rsidP="00AE3218">
      <w:pPr>
        <w:spacing w:after="0" w:line="240" w:lineRule="auto"/>
        <w:jc w:val="both"/>
        <w:rPr>
          <w:sz w:val="16"/>
          <w:lang w:val="el-GR"/>
        </w:rPr>
      </w:pPr>
      <w:r w:rsidRPr="00AE3218">
        <w:rPr>
          <w:sz w:val="16"/>
          <w:lang w:val="el-GR"/>
        </w:rPr>
        <w:tab/>
      </w:r>
    </w:p>
    <w:p w:rsidR="00332C29" w:rsidRDefault="00332C29" w:rsidP="00AE3218">
      <w:pPr>
        <w:spacing w:after="0" w:line="240" w:lineRule="auto"/>
        <w:jc w:val="both"/>
        <w:rPr>
          <w:lang w:val="el-GR"/>
        </w:rPr>
      </w:pPr>
      <w:r w:rsidRPr="00AA1079">
        <w:rPr>
          <w:lang w:val="el-GR"/>
        </w:rPr>
        <w:t xml:space="preserve">Η έρευνα για την </w:t>
      </w:r>
      <w:r w:rsidR="00077CBD">
        <w:rPr>
          <w:lang w:val="el-GR"/>
        </w:rPr>
        <w:t>κ</w:t>
      </w:r>
      <w:r w:rsidRPr="00AA1079">
        <w:rPr>
          <w:lang w:val="el-GR"/>
        </w:rPr>
        <w:t xml:space="preserve">αινοτομία στις επιχειρήσεις για την περίοδο 2018-2020 πραγματοποιήθηκε στο πλαίσιο του </w:t>
      </w:r>
      <w:proofErr w:type="spellStart"/>
      <w:r w:rsidRPr="00AA1079">
        <w:rPr>
          <w:lang w:val="el-GR"/>
        </w:rPr>
        <w:t>Υποέργου</w:t>
      </w:r>
      <w:proofErr w:type="spellEnd"/>
      <w:r w:rsidRPr="00AA1079">
        <w:rPr>
          <w:lang w:val="el-GR"/>
        </w:rPr>
        <w:t xml:space="preserve"> 5 «Παραγωγή δεικτών RIS3 για τα έτη 2016-2023» της Πράξης «Εγκατάσταση Μηχανισμού Παρακολούθησης (</w:t>
      </w:r>
      <w:proofErr w:type="spellStart"/>
      <w:r w:rsidRPr="00AA1079">
        <w:rPr>
          <w:lang w:val="el-GR"/>
        </w:rPr>
        <w:t>Monitoring</w:t>
      </w:r>
      <w:proofErr w:type="spellEnd"/>
      <w:r w:rsidRPr="00AA1079">
        <w:rPr>
          <w:lang w:val="el-GR"/>
        </w:rPr>
        <w:t xml:space="preserve"> </w:t>
      </w:r>
      <w:proofErr w:type="spellStart"/>
      <w:r w:rsidRPr="00AA1079">
        <w:rPr>
          <w:lang w:val="el-GR"/>
        </w:rPr>
        <w:t>Mechanism</w:t>
      </w:r>
      <w:proofErr w:type="spellEnd"/>
      <w:r w:rsidRPr="00AA1079">
        <w:rPr>
          <w:lang w:val="el-GR"/>
        </w:rPr>
        <w:t>)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AE3218" w:rsidRDefault="00AE3218" w:rsidP="00AE3218">
      <w:pPr>
        <w:spacing w:after="0" w:line="240" w:lineRule="auto"/>
        <w:jc w:val="both"/>
        <w:rPr>
          <w:lang w:val="el-GR"/>
        </w:rPr>
      </w:pPr>
    </w:p>
    <w:p w:rsidR="000A473B" w:rsidRPr="00013988" w:rsidRDefault="00AA1079" w:rsidP="00AE3218">
      <w:pPr>
        <w:spacing w:after="0" w:line="240" w:lineRule="auto"/>
        <w:rPr>
          <w:lang w:val="el-GR"/>
        </w:rPr>
      </w:pPr>
      <w:r>
        <w:rPr>
          <w:rFonts w:cstheme="majorHAnsi"/>
          <w:b/>
          <w:color w:val="262626" w:themeColor="text1" w:themeTint="D9"/>
          <w:sz w:val="24"/>
          <w:lang w:val="el-GR"/>
        </w:rPr>
        <w:lastRenderedPageBreak/>
        <w:t xml:space="preserve">Διευθύνσεις στο Διαδίκτυο </w:t>
      </w:r>
      <w:r>
        <w:rPr>
          <w:rFonts w:cstheme="minorHAnsi"/>
          <w:sz w:val="16"/>
          <w:szCs w:val="16"/>
          <w:lang w:val="el-GR"/>
        </w:rPr>
        <w:br/>
      </w:r>
      <w:r w:rsidRPr="00A43B93">
        <w:rPr>
          <w:rFonts w:cstheme="minorHAnsi"/>
          <w:lang w:val="el-GR"/>
        </w:rPr>
        <w:t xml:space="preserve">"Βασικοί </w:t>
      </w:r>
      <w:r w:rsidR="00231188">
        <w:rPr>
          <w:rFonts w:cstheme="minorHAnsi"/>
          <w:lang w:val="el-GR"/>
        </w:rPr>
        <w:t>δ</w:t>
      </w:r>
      <w:r w:rsidRPr="00A43B93">
        <w:rPr>
          <w:rFonts w:cstheme="minorHAnsi"/>
          <w:lang w:val="el-GR"/>
        </w:rPr>
        <w:t xml:space="preserve">είκτες για την </w:t>
      </w:r>
      <w:r w:rsidR="00231188">
        <w:rPr>
          <w:rFonts w:cstheme="minorHAnsi"/>
          <w:lang w:val="el-GR"/>
        </w:rPr>
        <w:t>κ</w:t>
      </w:r>
      <w:r w:rsidRPr="00A43B93">
        <w:rPr>
          <w:rFonts w:cstheme="minorHAnsi"/>
          <w:lang w:val="el-GR"/>
        </w:rPr>
        <w:t xml:space="preserve">αινοτομία στις </w:t>
      </w:r>
      <w:r w:rsidR="00231188">
        <w:rPr>
          <w:rFonts w:cstheme="minorHAnsi"/>
          <w:lang w:val="el-GR"/>
        </w:rPr>
        <w:t>ε</w:t>
      </w:r>
      <w:r w:rsidRPr="00A43B93">
        <w:rPr>
          <w:rFonts w:cstheme="minorHAnsi"/>
          <w:lang w:val="el-GR"/>
        </w:rPr>
        <w:t xml:space="preserve">λληνικές </w:t>
      </w:r>
      <w:r w:rsidR="00231188">
        <w:rPr>
          <w:rFonts w:cstheme="minorHAnsi"/>
          <w:lang w:val="el-GR"/>
        </w:rPr>
        <w:t>ε</w:t>
      </w:r>
      <w:r w:rsidRPr="00A43B93">
        <w:rPr>
          <w:rFonts w:cstheme="minorHAnsi"/>
          <w:lang w:val="el-GR"/>
        </w:rPr>
        <w:t xml:space="preserve">πιχειρήσεις </w:t>
      </w:r>
      <w:r>
        <w:rPr>
          <w:rFonts w:cstheme="minorHAnsi"/>
          <w:lang w:val="el-GR"/>
        </w:rPr>
        <w:t>2018-2020</w:t>
      </w:r>
      <w:r w:rsidRPr="00A43B93">
        <w:rPr>
          <w:rFonts w:cstheme="minorHAnsi"/>
          <w:lang w:val="el-GR"/>
        </w:rPr>
        <w:t>"</w:t>
      </w:r>
      <w:r>
        <w:rPr>
          <w:rFonts w:cstheme="minorHAnsi"/>
          <w:lang w:val="el-GR"/>
        </w:rPr>
        <w:br/>
      </w:r>
      <w:hyperlink r:id="rId12" w:history="1">
        <w:r w:rsidR="000A473B" w:rsidRPr="00110B3C">
          <w:rPr>
            <w:rStyle w:val="Hyperlink"/>
          </w:rPr>
          <w:t>https</w:t>
        </w:r>
        <w:r w:rsidR="000A473B" w:rsidRPr="00013988">
          <w:rPr>
            <w:rStyle w:val="Hyperlink"/>
            <w:lang w:val="el-GR"/>
          </w:rPr>
          <w:t>://</w:t>
        </w:r>
        <w:r w:rsidR="000A473B" w:rsidRPr="00110B3C">
          <w:rPr>
            <w:rStyle w:val="Hyperlink"/>
          </w:rPr>
          <w:t>metrics</w:t>
        </w:r>
        <w:r w:rsidR="000A473B" w:rsidRPr="00013988">
          <w:rPr>
            <w:rStyle w:val="Hyperlink"/>
            <w:lang w:val="el-GR"/>
          </w:rPr>
          <w:t>.</w:t>
        </w:r>
        <w:proofErr w:type="spellStart"/>
        <w:r w:rsidR="000A473B" w:rsidRPr="00110B3C">
          <w:rPr>
            <w:rStyle w:val="Hyperlink"/>
          </w:rPr>
          <w:t>ekt</w:t>
        </w:r>
        <w:proofErr w:type="spellEnd"/>
        <w:r w:rsidR="000A473B" w:rsidRPr="00013988">
          <w:rPr>
            <w:rStyle w:val="Hyperlink"/>
            <w:lang w:val="el-GR"/>
          </w:rPr>
          <w:t>.</w:t>
        </w:r>
        <w:r w:rsidR="000A473B" w:rsidRPr="00110B3C">
          <w:rPr>
            <w:rStyle w:val="Hyperlink"/>
          </w:rPr>
          <w:t>gr</w:t>
        </w:r>
        <w:r w:rsidR="000A473B" w:rsidRPr="00013988">
          <w:rPr>
            <w:rStyle w:val="Hyperlink"/>
            <w:lang w:val="el-GR"/>
          </w:rPr>
          <w:t>/</w:t>
        </w:r>
        <w:r w:rsidR="000A473B" w:rsidRPr="00110B3C">
          <w:rPr>
            <w:rStyle w:val="Hyperlink"/>
          </w:rPr>
          <w:t>publications</w:t>
        </w:r>
        <w:r w:rsidR="000A473B" w:rsidRPr="00013988">
          <w:rPr>
            <w:rStyle w:val="Hyperlink"/>
            <w:lang w:val="el-GR"/>
          </w:rPr>
          <w:t>/588</w:t>
        </w:r>
      </w:hyperlink>
    </w:p>
    <w:p w:rsidR="00AE3218" w:rsidRPr="00AE3218" w:rsidRDefault="00AE3218" w:rsidP="00AE3218">
      <w:pPr>
        <w:spacing w:after="0" w:line="240" w:lineRule="auto"/>
        <w:rPr>
          <w:rFonts w:cstheme="minorHAnsi"/>
          <w:sz w:val="18"/>
          <w:lang w:val="el-GR"/>
        </w:rPr>
      </w:pPr>
    </w:p>
    <w:p w:rsidR="00AA1079" w:rsidRPr="00013988" w:rsidRDefault="00AA1079" w:rsidP="00AE3218">
      <w:pPr>
        <w:spacing w:after="0" w:line="240" w:lineRule="auto"/>
        <w:rPr>
          <w:rFonts w:cstheme="majorHAnsi"/>
          <w:lang w:val="el-GR"/>
        </w:rPr>
      </w:pPr>
      <w:r w:rsidRPr="00013988">
        <w:rPr>
          <w:rFonts w:cstheme="minorHAnsi"/>
          <w:lang w:val="el-GR"/>
        </w:rPr>
        <w:t>"</w:t>
      </w:r>
      <w:r>
        <w:rPr>
          <w:rFonts w:cstheme="majorHAnsi"/>
          <w:lang w:val="el-GR"/>
        </w:rPr>
        <w:t>Η</w:t>
      </w:r>
      <w:r w:rsidRPr="00013988">
        <w:rPr>
          <w:rFonts w:cstheme="majorHAnsi"/>
          <w:lang w:val="el-GR"/>
        </w:rPr>
        <w:t xml:space="preserve"> </w:t>
      </w:r>
      <w:r>
        <w:rPr>
          <w:rFonts w:cstheme="majorHAnsi"/>
          <w:lang w:val="el-GR"/>
        </w:rPr>
        <w:t>θέση</w:t>
      </w:r>
      <w:r w:rsidRPr="00013988">
        <w:rPr>
          <w:rFonts w:cstheme="majorHAnsi"/>
          <w:lang w:val="el-GR"/>
        </w:rPr>
        <w:t xml:space="preserve"> </w:t>
      </w:r>
      <w:r>
        <w:rPr>
          <w:rFonts w:cstheme="majorHAnsi"/>
          <w:lang w:val="el-GR"/>
        </w:rPr>
        <w:t>της</w:t>
      </w:r>
      <w:r w:rsidRPr="00013988">
        <w:rPr>
          <w:rFonts w:cstheme="majorHAnsi"/>
          <w:lang w:val="el-GR"/>
        </w:rPr>
        <w:t xml:space="preserve"> </w:t>
      </w:r>
      <w:r>
        <w:rPr>
          <w:rFonts w:cstheme="majorHAnsi"/>
          <w:lang w:val="el-GR"/>
        </w:rPr>
        <w:t>Ελλάδας</w:t>
      </w:r>
      <w:r w:rsidRPr="00013988">
        <w:rPr>
          <w:rFonts w:cstheme="majorHAnsi"/>
          <w:lang w:val="el-GR"/>
        </w:rPr>
        <w:t xml:space="preserve"> </w:t>
      </w:r>
      <w:r>
        <w:rPr>
          <w:rFonts w:cstheme="majorHAnsi"/>
          <w:lang w:val="el-GR"/>
        </w:rPr>
        <w:t>στο</w:t>
      </w:r>
      <w:r w:rsidRPr="00013988">
        <w:rPr>
          <w:rFonts w:cstheme="majorHAnsi"/>
          <w:lang w:val="el-GR"/>
        </w:rPr>
        <w:t xml:space="preserve"> </w:t>
      </w:r>
      <w:r w:rsidRPr="00305A02">
        <w:rPr>
          <w:rFonts w:cstheme="majorHAnsi"/>
        </w:rPr>
        <w:t>European</w:t>
      </w:r>
      <w:r w:rsidRPr="00013988">
        <w:rPr>
          <w:rFonts w:cstheme="majorHAnsi"/>
          <w:lang w:val="el-GR"/>
        </w:rPr>
        <w:t xml:space="preserve"> </w:t>
      </w:r>
      <w:r w:rsidRPr="00305A02">
        <w:rPr>
          <w:rFonts w:cstheme="majorHAnsi"/>
        </w:rPr>
        <w:t>Innovation</w:t>
      </w:r>
      <w:r w:rsidRPr="00013988">
        <w:rPr>
          <w:rFonts w:cstheme="majorHAnsi"/>
          <w:lang w:val="el-GR"/>
        </w:rPr>
        <w:t xml:space="preserve"> </w:t>
      </w:r>
      <w:r w:rsidRPr="00305A02">
        <w:rPr>
          <w:rFonts w:cstheme="majorHAnsi"/>
        </w:rPr>
        <w:t>Scoreboard</w:t>
      </w:r>
      <w:r w:rsidRPr="00013988">
        <w:rPr>
          <w:rFonts w:cstheme="majorHAnsi"/>
          <w:lang w:val="el-GR"/>
        </w:rPr>
        <w:t xml:space="preserve"> 2014-2021</w:t>
      </w:r>
      <w:r w:rsidRPr="00013988">
        <w:rPr>
          <w:rFonts w:cstheme="minorHAnsi"/>
          <w:lang w:val="el-GR"/>
        </w:rPr>
        <w:t>"</w:t>
      </w:r>
    </w:p>
    <w:p w:rsidR="000A473B" w:rsidRPr="000A473B" w:rsidRDefault="00DC5FBD" w:rsidP="00AE3218">
      <w:pPr>
        <w:spacing w:after="0" w:line="240" w:lineRule="auto"/>
        <w:rPr>
          <w:rFonts w:cstheme="minorHAnsi"/>
          <w:lang w:val="el-GR"/>
        </w:rPr>
      </w:pPr>
      <w:hyperlink r:id="rId13" w:history="1">
        <w:r w:rsidR="000A473B" w:rsidRPr="00110B3C">
          <w:rPr>
            <w:rStyle w:val="Hyperlink"/>
            <w:rFonts w:cstheme="minorHAnsi"/>
          </w:rPr>
          <w:t>https</w:t>
        </w:r>
        <w:r w:rsidR="000A473B" w:rsidRPr="00013988">
          <w:rPr>
            <w:rStyle w:val="Hyperlink"/>
            <w:rFonts w:cstheme="minorHAnsi"/>
            <w:lang w:val="el-GR"/>
          </w:rPr>
          <w:t>://</w:t>
        </w:r>
        <w:r w:rsidR="000A473B" w:rsidRPr="00110B3C">
          <w:rPr>
            <w:rStyle w:val="Hyperlink"/>
            <w:rFonts w:cstheme="minorHAnsi"/>
          </w:rPr>
          <w:t>metrics</w:t>
        </w:r>
        <w:r w:rsidR="000A473B" w:rsidRPr="00013988">
          <w:rPr>
            <w:rStyle w:val="Hyperlink"/>
            <w:rFonts w:cstheme="minorHAnsi"/>
            <w:lang w:val="el-GR"/>
          </w:rPr>
          <w:t>.</w:t>
        </w:r>
        <w:proofErr w:type="spellStart"/>
        <w:r w:rsidR="000A473B" w:rsidRPr="00110B3C">
          <w:rPr>
            <w:rStyle w:val="Hyperlink"/>
            <w:rFonts w:cstheme="minorHAnsi"/>
          </w:rPr>
          <w:t>ekt</w:t>
        </w:r>
        <w:proofErr w:type="spellEnd"/>
        <w:r w:rsidR="000A473B" w:rsidRPr="00013988">
          <w:rPr>
            <w:rStyle w:val="Hyperlink"/>
            <w:rFonts w:cstheme="minorHAnsi"/>
            <w:lang w:val="el-GR"/>
          </w:rPr>
          <w:t>.</w:t>
        </w:r>
        <w:r w:rsidR="000A473B" w:rsidRPr="00110B3C">
          <w:rPr>
            <w:rStyle w:val="Hyperlink"/>
            <w:rFonts w:cstheme="minorHAnsi"/>
          </w:rPr>
          <w:t>gr</w:t>
        </w:r>
        <w:r w:rsidR="000A473B" w:rsidRPr="00013988">
          <w:rPr>
            <w:rStyle w:val="Hyperlink"/>
            <w:rFonts w:cstheme="minorHAnsi"/>
            <w:lang w:val="el-GR"/>
          </w:rPr>
          <w:t>/</w:t>
        </w:r>
        <w:r w:rsidR="000A473B" w:rsidRPr="00110B3C">
          <w:rPr>
            <w:rStyle w:val="Hyperlink"/>
            <w:rFonts w:cstheme="minorHAnsi"/>
          </w:rPr>
          <w:t>publications</w:t>
        </w:r>
        <w:r w:rsidR="000A473B" w:rsidRPr="00013988">
          <w:rPr>
            <w:rStyle w:val="Hyperlink"/>
            <w:rFonts w:cstheme="minorHAnsi"/>
            <w:lang w:val="el-GR"/>
          </w:rPr>
          <w:t>/567</w:t>
        </w:r>
      </w:hyperlink>
      <w:r w:rsidR="000A473B">
        <w:rPr>
          <w:rFonts w:cstheme="minorHAnsi"/>
          <w:lang w:val="el-GR"/>
        </w:rPr>
        <w:t xml:space="preserve"> </w:t>
      </w:r>
    </w:p>
    <w:p w:rsidR="00AE3218" w:rsidRPr="00AE3218" w:rsidRDefault="00AE3218" w:rsidP="00AE3218">
      <w:pPr>
        <w:spacing w:after="0" w:line="240" w:lineRule="auto"/>
        <w:rPr>
          <w:rFonts w:cstheme="minorHAnsi"/>
          <w:sz w:val="18"/>
          <w:lang w:val="el-GR"/>
        </w:rPr>
      </w:pPr>
    </w:p>
    <w:p w:rsidR="000A473B" w:rsidRDefault="000A473B" w:rsidP="00AE3218">
      <w:pPr>
        <w:spacing w:after="0" w:line="240" w:lineRule="auto"/>
        <w:rPr>
          <w:rFonts w:cstheme="minorHAnsi"/>
          <w:lang w:val="el-GR"/>
        </w:rPr>
      </w:pPr>
      <w:r w:rsidRPr="00013988">
        <w:rPr>
          <w:rFonts w:cstheme="minorHAnsi"/>
          <w:lang w:val="el-GR"/>
        </w:rPr>
        <w:t>“</w:t>
      </w:r>
      <w:r w:rsidRPr="000A473B">
        <w:rPr>
          <w:rFonts w:cstheme="minorHAnsi"/>
          <w:lang w:val="el-GR"/>
        </w:rPr>
        <w:t xml:space="preserve">Εγχειρίδιο του </w:t>
      </w:r>
      <w:proofErr w:type="spellStart"/>
      <w:r w:rsidRPr="000A473B">
        <w:rPr>
          <w:rFonts w:cstheme="minorHAnsi"/>
          <w:lang w:val="el-GR"/>
        </w:rPr>
        <w:t>Όσλο</w:t>
      </w:r>
      <w:proofErr w:type="spellEnd"/>
      <w:r w:rsidRPr="000A473B">
        <w:rPr>
          <w:rFonts w:cstheme="minorHAnsi"/>
          <w:lang w:val="el-GR"/>
        </w:rPr>
        <w:t xml:space="preserve"> 2018, Κατευθυντήριες γραμμές για τη συλλογή, την παρουσίαση και τη χρήση στατιστικών δεδομένων για την καινοτομία, 4η έκδοση</w:t>
      </w:r>
      <w:r w:rsidRPr="00013988">
        <w:rPr>
          <w:rFonts w:cstheme="minorHAnsi"/>
          <w:lang w:val="el-GR"/>
        </w:rPr>
        <w:t>”</w:t>
      </w:r>
      <w:r>
        <w:rPr>
          <w:rFonts w:cstheme="minorHAnsi"/>
          <w:lang w:val="el-GR"/>
        </w:rPr>
        <w:t xml:space="preserve"> </w:t>
      </w:r>
    </w:p>
    <w:p w:rsidR="000A473B" w:rsidRPr="000A473B" w:rsidRDefault="002877DF" w:rsidP="00AE3218">
      <w:pPr>
        <w:spacing w:after="0" w:line="240" w:lineRule="auto"/>
        <w:rPr>
          <w:rFonts w:cstheme="minorHAnsi"/>
          <w:lang w:val="el-GR"/>
        </w:rPr>
      </w:pPr>
      <w:hyperlink r:id="rId14" w:history="1">
        <w:r w:rsidR="000A473B" w:rsidRPr="00110B3C">
          <w:rPr>
            <w:rStyle w:val="Hyperlink"/>
            <w:rFonts w:cstheme="minorHAnsi"/>
          </w:rPr>
          <w:t>https</w:t>
        </w:r>
        <w:r w:rsidR="000A473B" w:rsidRPr="00013988">
          <w:rPr>
            <w:rStyle w:val="Hyperlink"/>
            <w:rFonts w:cstheme="minorHAnsi"/>
            <w:lang w:val="el-GR"/>
          </w:rPr>
          <w:t>://</w:t>
        </w:r>
        <w:r w:rsidR="000A473B" w:rsidRPr="00110B3C">
          <w:rPr>
            <w:rStyle w:val="Hyperlink"/>
            <w:rFonts w:cstheme="minorHAnsi"/>
          </w:rPr>
          <w:t>metrics</w:t>
        </w:r>
        <w:r w:rsidR="000A473B" w:rsidRPr="00013988">
          <w:rPr>
            <w:rStyle w:val="Hyperlink"/>
            <w:rFonts w:cstheme="minorHAnsi"/>
            <w:lang w:val="el-GR"/>
          </w:rPr>
          <w:t>.</w:t>
        </w:r>
        <w:proofErr w:type="spellStart"/>
        <w:r w:rsidR="000A473B" w:rsidRPr="00110B3C">
          <w:rPr>
            <w:rStyle w:val="Hyperlink"/>
            <w:rFonts w:cstheme="minorHAnsi"/>
          </w:rPr>
          <w:t>ekt</w:t>
        </w:r>
        <w:proofErr w:type="spellEnd"/>
        <w:r w:rsidR="000A473B" w:rsidRPr="00013988">
          <w:rPr>
            <w:rStyle w:val="Hyperlink"/>
            <w:rFonts w:cstheme="minorHAnsi"/>
            <w:lang w:val="el-GR"/>
          </w:rPr>
          <w:t>.</w:t>
        </w:r>
        <w:r w:rsidR="000A473B" w:rsidRPr="00110B3C">
          <w:rPr>
            <w:rStyle w:val="Hyperlink"/>
            <w:rFonts w:cstheme="minorHAnsi"/>
          </w:rPr>
          <w:t>gr</w:t>
        </w:r>
        <w:r w:rsidR="000A473B" w:rsidRPr="00013988">
          <w:rPr>
            <w:rStyle w:val="Hyperlink"/>
            <w:rFonts w:cstheme="minorHAnsi"/>
            <w:lang w:val="el-GR"/>
          </w:rPr>
          <w:t>/</w:t>
        </w:r>
        <w:r w:rsidR="000A473B" w:rsidRPr="00110B3C">
          <w:rPr>
            <w:rStyle w:val="Hyperlink"/>
            <w:rFonts w:cstheme="minorHAnsi"/>
          </w:rPr>
          <w:t>publications</w:t>
        </w:r>
        <w:r w:rsidR="000A473B" w:rsidRPr="00013988">
          <w:rPr>
            <w:rStyle w:val="Hyperlink"/>
            <w:rFonts w:cstheme="minorHAnsi"/>
            <w:lang w:val="el-GR"/>
          </w:rPr>
          <w:t>/552</w:t>
        </w:r>
      </w:hyperlink>
      <w:r w:rsidR="000A473B">
        <w:rPr>
          <w:rFonts w:cstheme="minorHAnsi"/>
          <w:lang w:val="el-GR"/>
        </w:rPr>
        <w:t xml:space="preserve"> </w:t>
      </w:r>
    </w:p>
    <w:p w:rsidR="00AE3218" w:rsidRPr="00DC5FBD" w:rsidRDefault="00AE3218" w:rsidP="00AE3218">
      <w:pPr>
        <w:spacing w:after="0" w:line="240" w:lineRule="auto"/>
        <w:rPr>
          <w:rFonts w:cstheme="minorHAnsi"/>
          <w:sz w:val="18"/>
          <w:lang w:val="el-GR"/>
        </w:rPr>
      </w:pPr>
    </w:p>
    <w:p w:rsidR="008B4793" w:rsidRPr="00172C04" w:rsidRDefault="00AA1079" w:rsidP="00AE3218">
      <w:pPr>
        <w:spacing w:after="0" w:line="240" w:lineRule="auto"/>
        <w:rPr>
          <w:lang w:val="el-GR"/>
        </w:rPr>
      </w:pPr>
      <w:proofErr w:type="spellStart"/>
      <w:proofErr w:type="gramStart"/>
      <w:r>
        <w:rPr>
          <w:rFonts w:cstheme="minorHAnsi"/>
        </w:rPr>
        <w:t>metricsEKT</w:t>
      </w:r>
      <w:proofErr w:type="spellEnd"/>
      <w:proofErr w:type="gramEnd"/>
      <w:r w:rsidRPr="00801E68">
        <w:rPr>
          <w:rFonts w:cstheme="minorHAnsi"/>
          <w:lang w:val="el-GR"/>
        </w:rPr>
        <w:t xml:space="preserve"> - Καινοτομία στις ελληνικές επιχειρήσεις</w:t>
      </w:r>
      <w:r w:rsidRPr="00801E68">
        <w:rPr>
          <w:rFonts w:cstheme="minorHAnsi"/>
          <w:lang w:val="el-GR"/>
        </w:rPr>
        <w:br/>
      </w:r>
      <w:hyperlink r:id="rId15" w:history="1">
        <w:r w:rsidRPr="00C14FC5">
          <w:rPr>
            <w:rStyle w:val="Hyperlink"/>
          </w:rPr>
          <w:t>https</w:t>
        </w:r>
        <w:r w:rsidRPr="00801E68">
          <w:rPr>
            <w:rStyle w:val="Hyperlink"/>
            <w:lang w:val="el-GR"/>
          </w:rPr>
          <w:t>://</w:t>
        </w:r>
        <w:r w:rsidRPr="00C14FC5">
          <w:rPr>
            <w:rStyle w:val="Hyperlink"/>
          </w:rPr>
          <w:t>metrics</w:t>
        </w:r>
        <w:r w:rsidRPr="00801E68">
          <w:rPr>
            <w:rStyle w:val="Hyperlink"/>
            <w:lang w:val="el-GR"/>
          </w:rPr>
          <w:t>.</w:t>
        </w:r>
        <w:proofErr w:type="spellStart"/>
        <w:r w:rsidRPr="00C14FC5">
          <w:rPr>
            <w:rStyle w:val="Hyperlink"/>
          </w:rPr>
          <w:t>ekt</w:t>
        </w:r>
        <w:proofErr w:type="spellEnd"/>
        <w:r w:rsidRPr="00801E68">
          <w:rPr>
            <w:rStyle w:val="Hyperlink"/>
            <w:lang w:val="el-GR"/>
          </w:rPr>
          <w:t>.</w:t>
        </w:r>
        <w:r w:rsidRPr="00C14FC5">
          <w:rPr>
            <w:rStyle w:val="Hyperlink"/>
          </w:rPr>
          <w:t>gr</w:t>
        </w:r>
        <w:r w:rsidRPr="00801E68">
          <w:rPr>
            <w:rStyle w:val="Hyperlink"/>
            <w:lang w:val="el-GR"/>
          </w:rPr>
          <w:t>/</w:t>
        </w:r>
        <w:r w:rsidRPr="00C14FC5">
          <w:rPr>
            <w:rStyle w:val="Hyperlink"/>
          </w:rPr>
          <w:t>innovation</w:t>
        </w:r>
      </w:hyperlink>
      <w:r w:rsidRPr="00801E68">
        <w:rPr>
          <w:lang w:val="el-GR"/>
        </w:rPr>
        <w:t xml:space="preserve"> </w:t>
      </w:r>
    </w:p>
    <w:p w:rsidR="00AA1079" w:rsidRDefault="00AA1079" w:rsidP="00AE3218">
      <w:pPr>
        <w:spacing w:after="0" w:line="240" w:lineRule="auto"/>
        <w:rPr>
          <w:rFonts w:cstheme="majorHAnsi"/>
          <w:b/>
          <w:color w:val="262626" w:themeColor="text1" w:themeTint="D9"/>
          <w:sz w:val="24"/>
          <w:lang w:val="el-GR"/>
        </w:rPr>
      </w:pPr>
    </w:p>
    <w:p w:rsidR="00E56F92" w:rsidRPr="00013988" w:rsidRDefault="009B0DF0" w:rsidP="00AE3218">
      <w:pPr>
        <w:spacing w:after="0" w:line="240" w:lineRule="auto"/>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6">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r w:rsidRPr="004F32C4">
          <w:rPr>
            <w:rStyle w:val="InternetLink"/>
            <w:rFonts w:eastAsia="Batang" w:cstheme="majorHAnsi"/>
            <w:lang w:eastAsia="el-GR"/>
          </w:rPr>
          <w:t>gr</w:t>
        </w:r>
      </w:hyperlink>
    </w:p>
    <w:p w:rsidR="00172C04" w:rsidRPr="00E56F92" w:rsidRDefault="00172C04" w:rsidP="00AE3218">
      <w:pPr>
        <w:spacing w:after="0" w:line="240" w:lineRule="auto"/>
        <w:rPr>
          <w:rStyle w:val="InternetLink"/>
          <w:rFonts w:eastAsia="Batang" w:cstheme="majorHAnsi"/>
          <w:lang w:val="el-GR" w:eastAsia="el-GR"/>
        </w:rPr>
      </w:pPr>
    </w:p>
    <w:p w:rsidR="005A7977" w:rsidRPr="00E56F92" w:rsidRDefault="005A7977">
      <w:pPr>
        <w:spacing w:after="0" w:line="240" w:lineRule="auto"/>
        <w:rPr>
          <w:rStyle w:val="InternetLink"/>
          <w:rFonts w:eastAsia="Batang" w:cstheme="majorHAnsi"/>
          <w:lang w:val="el-GR" w:eastAsia="el-GR"/>
        </w:rPr>
      </w:pPr>
    </w:p>
    <w:p w:rsidR="00172C04" w:rsidRDefault="005A7977" w:rsidP="00172C04">
      <w:pPr>
        <w:spacing w:after="0" w:line="240" w:lineRule="auto"/>
        <w:jc w:val="both"/>
        <w:rPr>
          <w:rFonts w:cstheme="majorHAnsi"/>
          <w:b/>
          <w:i/>
          <w:color w:val="262626" w:themeColor="text1" w:themeTint="D9"/>
          <w:sz w:val="24"/>
          <w:lang w:val="el-GR"/>
        </w:rPr>
      </w:pPr>
      <w:r w:rsidRPr="00294AB0">
        <w:rPr>
          <w:rFonts w:ascii="Verdana" w:eastAsia="Batang" w:hAnsi="Verdana"/>
          <w:noProof/>
          <w:sz w:val="18"/>
          <w:szCs w:val="18"/>
        </w:rPr>
        <w:drawing>
          <wp:inline distT="0" distB="0" distL="0" distR="0" wp14:anchorId="4D71818A" wp14:editId="16835910">
            <wp:extent cx="4261899" cy="1105825"/>
            <wp:effectExtent l="19050" t="0" r="5301" b="0"/>
            <wp:docPr id="15"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2389" cy="1105952"/>
                    </a:xfrm>
                    <a:prstGeom prst="rect">
                      <a:avLst/>
                    </a:prstGeom>
                    <a:noFill/>
                    <a:ln>
                      <a:noFill/>
                    </a:ln>
                  </pic:spPr>
                </pic:pic>
              </a:graphicData>
            </a:graphic>
          </wp:inline>
        </w:drawing>
      </w:r>
    </w:p>
    <w:p w:rsidR="00172C04" w:rsidRDefault="00172C04" w:rsidP="00172C04">
      <w:pPr>
        <w:spacing w:after="0" w:line="240" w:lineRule="auto"/>
        <w:jc w:val="both"/>
        <w:rPr>
          <w:rFonts w:cstheme="majorHAnsi"/>
          <w:b/>
          <w:i/>
          <w:color w:val="262626" w:themeColor="text1" w:themeTint="D9"/>
          <w:sz w:val="24"/>
          <w:lang w:val="el-GR"/>
        </w:rPr>
      </w:pPr>
    </w:p>
    <w:p w:rsidR="00FD009B" w:rsidRPr="00172C04" w:rsidRDefault="0013453F" w:rsidP="00AE3218">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sidR="00E56F92">
        <w:rPr>
          <w:rFonts w:cstheme="majorHAnsi"/>
          <w:b/>
          <w:i/>
          <w:color w:val="262626" w:themeColor="text1" w:themeTint="D9"/>
          <w:sz w:val="24"/>
          <w:lang w:val="el-GR"/>
        </w:rPr>
        <w:br/>
      </w:r>
      <w:r w:rsidR="004A2D3B" w:rsidRPr="008B4793">
        <w:rPr>
          <w:rStyle w:val="Emphasis"/>
          <w:rFonts w:cstheme="minorHAnsi"/>
          <w:color w:val="000000"/>
          <w:szCs w:val="21"/>
          <w:shd w:val="clear" w:color="auto" w:fill="FFFFFF"/>
          <w:lang w:val="el-GR"/>
        </w:rPr>
        <w:t>Το Εθνικό Κέντρο Τεκμηρίωσης και Ηλεκτρονικού Περιεχομένου (</w:t>
      </w:r>
      <w:r w:rsidR="004A2D3B" w:rsidRPr="008B4793">
        <w:rPr>
          <w:rStyle w:val="Emphasis"/>
          <w:rFonts w:cstheme="minorHAnsi"/>
          <w:color w:val="000000"/>
          <w:szCs w:val="21"/>
          <w:shd w:val="clear" w:color="auto" w:fill="FFFFFF"/>
        </w:rPr>
        <w:t>EKT</w:t>
      </w:r>
      <w:r w:rsidR="004A2D3B" w:rsidRPr="008B4793">
        <w:rPr>
          <w:rStyle w:val="Emphasis"/>
          <w:rFonts w:cstheme="minorHAnsi"/>
          <w:color w:val="000000"/>
          <w:szCs w:val="21"/>
          <w:shd w:val="clear" w:color="auto" w:fill="FFFFFF"/>
          <w:lang w:val="el-GR"/>
        </w:rPr>
        <w:t>) (</w:t>
      </w:r>
      <w:hyperlink r:id="rId18" w:history="1">
        <w:r w:rsidR="00914547" w:rsidRPr="008B4793">
          <w:rPr>
            <w:rStyle w:val="Hyperlink"/>
            <w:rFonts w:cstheme="minorHAnsi"/>
            <w:szCs w:val="21"/>
            <w:shd w:val="clear" w:color="auto" w:fill="FFFFFF"/>
          </w:rPr>
          <w:t>www</w:t>
        </w:r>
        <w:r w:rsidR="00914547" w:rsidRPr="008B4793">
          <w:rPr>
            <w:rStyle w:val="Hyperlink"/>
            <w:rFonts w:cstheme="minorHAnsi"/>
            <w:szCs w:val="21"/>
            <w:shd w:val="clear" w:color="auto" w:fill="FFFFFF"/>
            <w:lang w:val="el-GR"/>
          </w:rPr>
          <w:t>.</w:t>
        </w:r>
        <w:proofErr w:type="spellStart"/>
        <w:r w:rsidR="00914547" w:rsidRPr="008B4793">
          <w:rPr>
            <w:rStyle w:val="Hyperlink"/>
            <w:rFonts w:cstheme="minorHAnsi"/>
            <w:szCs w:val="21"/>
            <w:shd w:val="clear" w:color="auto" w:fill="FFFFFF"/>
          </w:rPr>
          <w:t>ekt</w:t>
        </w:r>
        <w:proofErr w:type="spellEnd"/>
        <w:r w:rsidR="00914547" w:rsidRPr="008B4793">
          <w:rPr>
            <w:rStyle w:val="Hyperlink"/>
            <w:rFonts w:cstheme="minorHAnsi"/>
            <w:szCs w:val="21"/>
            <w:shd w:val="clear" w:color="auto" w:fill="FFFFFF"/>
            <w:lang w:val="el-GR"/>
          </w:rPr>
          <w:t>.</w:t>
        </w:r>
        <w:r w:rsidR="00914547" w:rsidRPr="008B4793">
          <w:rPr>
            <w:rStyle w:val="Hyperlink"/>
            <w:rFonts w:cstheme="minorHAnsi"/>
            <w:szCs w:val="21"/>
            <w:shd w:val="clear" w:color="auto" w:fill="FFFFFF"/>
          </w:rPr>
          <w:t>gr</w:t>
        </w:r>
      </w:hyperlink>
      <w:r w:rsidR="004A2D3B" w:rsidRPr="008B4793">
        <w:rPr>
          <w:rStyle w:val="Emphasis"/>
          <w:rFonts w:cstheme="minorHAnsi"/>
          <w:color w:val="000000"/>
          <w:szCs w:val="21"/>
          <w:shd w:val="clear" w:color="auto" w:fill="FFFFFF"/>
          <w:lang w:val="el-GR"/>
        </w:rPr>
        <w:t>)</w:t>
      </w:r>
      <w:r w:rsidR="00914547" w:rsidRPr="008B4793">
        <w:rPr>
          <w:rStyle w:val="Emphasis"/>
          <w:rFonts w:cstheme="minorHAnsi"/>
          <w:color w:val="000000"/>
          <w:szCs w:val="21"/>
          <w:shd w:val="clear" w:color="auto" w:fill="FFFFFF"/>
          <w:lang w:val="el-GR"/>
        </w:rPr>
        <w:t xml:space="preserve">, </w:t>
      </w:r>
      <w:r w:rsidR="004A2D3B" w:rsidRPr="008B4793">
        <w:rPr>
          <w:rStyle w:val="Emphasis"/>
          <w:rFonts w:cstheme="minorHAnsi"/>
          <w:color w:val="000000"/>
          <w:szCs w:val="21"/>
          <w:shd w:val="clear" w:color="auto" w:fill="FFFFFF"/>
          <w:lang w:val="el-GR"/>
        </w:rPr>
        <w:t xml:space="preserve">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w:t>
      </w:r>
      <w:r w:rsidR="007C52AC" w:rsidRPr="008B4793">
        <w:rPr>
          <w:rStyle w:val="Emphasis"/>
          <w:rFonts w:cstheme="minorHAnsi"/>
          <w:color w:val="000000"/>
          <w:szCs w:val="21"/>
          <w:shd w:val="clear" w:color="auto" w:fill="FFFFFF"/>
          <w:lang w:val="el-GR"/>
        </w:rPr>
        <w:t xml:space="preserve">καθώς </w:t>
      </w:r>
      <w:r w:rsidR="004A2D3B" w:rsidRPr="008B4793">
        <w:rPr>
          <w:rStyle w:val="Emphasis"/>
          <w:rFonts w:cstheme="minorHAnsi"/>
          <w:color w:val="000000"/>
          <w:szCs w:val="21"/>
          <w:shd w:val="clear" w:color="auto" w:fill="FFFFFF"/>
          <w:lang w:val="el-GR"/>
        </w:rPr>
        <w:t>και την ψηφιακή διατήρηση της επιστημονικής, τεχνολογικής και πολιτιστικής πληροφορίας, περιεχομένου και δεδομένων,</w:t>
      </w:r>
      <w:r w:rsidR="004A2D3B" w:rsidRPr="008B4793">
        <w:rPr>
          <w:rStyle w:val="Emphasis"/>
          <w:rFonts w:cstheme="minorHAnsi"/>
          <w:color w:val="000000"/>
          <w:szCs w:val="21"/>
          <w:shd w:val="clear" w:color="auto" w:fill="FFFFFF"/>
        </w:rPr>
        <w:t> </w:t>
      </w:r>
      <w:r w:rsidR="004A2D3B" w:rsidRPr="008B4793">
        <w:rPr>
          <w:rStyle w:val="Emphasis"/>
          <w:rFonts w:cstheme="minorHAnsi"/>
          <w:color w:val="000000"/>
          <w:szCs w:val="21"/>
          <w:shd w:val="clear" w:color="auto" w:fill="FFFFFF"/>
          <w:lang w:val="el-GR"/>
        </w:rPr>
        <w:t xml:space="preserve"> που παράγ</w:t>
      </w:r>
      <w:r w:rsidR="007C52AC" w:rsidRPr="008B4793">
        <w:rPr>
          <w:rStyle w:val="Emphasis"/>
          <w:rFonts w:cstheme="minorHAnsi"/>
          <w:color w:val="000000"/>
          <w:szCs w:val="21"/>
          <w:shd w:val="clear" w:color="auto" w:fill="FFFFFF"/>
          <w:lang w:val="el-GR"/>
        </w:rPr>
        <w:t>ον</w:t>
      </w:r>
      <w:r w:rsidR="004A2D3B" w:rsidRPr="008B4793">
        <w:rPr>
          <w:rStyle w:val="Emphasis"/>
          <w:rFonts w:cstheme="minorHAnsi"/>
          <w:color w:val="000000"/>
          <w:szCs w:val="21"/>
          <w:shd w:val="clear" w:color="auto" w:fill="FFFFFF"/>
          <w:lang w:val="el-GR"/>
        </w:rPr>
        <w:t>ται στην Ελλάδα. Με σύγχρονες τεχνολογικές υποδομές, υψηλή τεχνογνωσία και προσωπικό υψηλής κατάρτισης και εξειδίκευσης, το ΕΚΤ</w:t>
      </w:r>
      <w:r w:rsidR="00914547" w:rsidRPr="008B4793">
        <w:rPr>
          <w:rStyle w:val="Emphasis"/>
          <w:rFonts w:cstheme="minorHAnsi"/>
          <w:color w:val="000000"/>
          <w:szCs w:val="21"/>
          <w:shd w:val="clear" w:color="auto" w:fill="FFFFFF"/>
          <w:lang w:val="el-GR"/>
        </w:rPr>
        <w:t xml:space="preserve">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8B4793">
        <w:rPr>
          <w:rStyle w:val="Emphasis"/>
          <w:rFonts w:cstheme="minorHAnsi"/>
          <w:color w:val="000000"/>
          <w:szCs w:val="21"/>
          <w:shd w:val="clear" w:color="auto" w:fill="FFFFFF"/>
          <w:lang w:val="el-GR"/>
        </w:rPr>
        <w:t>:</w:t>
      </w:r>
      <w:r w:rsidR="004A2D3B" w:rsidRPr="008B4793">
        <w:rPr>
          <w:rFonts w:cstheme="minorHAnsi"/>
          <w:i/>
          <w:iCs/>
          <w:color w:val="000000"/>
          <w:szCs w:val="21"/>
          <w:shd w:val="clear" w:color="auto" w:fill="FFFFFF"/>
          <w:lang w:val="el-GR"/>
        </w:rPr>
        <w:br/>
      </w:r>
      <w:r w:rsidR="004A2D3B" w:rsidRPr="008B4793">
        <w:rPr>
          <w:rStyle w:val="Emphasis"/>
          <w:rFonts w:cstheme="minorHAnsi"/>
          <w:color w:val="000000"/>
          <w:szCs w:val="21"/>
          <w:shd w:val="clear" w:color="auto" w:fill="FFFFFF"/>
          <w:lang w:val="el-GR"/>
        </w:rPr>
        <w:t xml:space="preserve">• Συλλέγει, τεκμηριώνει και διαθέτει </w:t>
      </w:r>
      <w:r w:rsidR="00D7223F" w:rsidRPr="008B4793">
        <w:rPr>
          <w:rStyle w:val="Emphasis"/>
          <w:rFonts w:cstheme="minorHAnsi"/>
          <w:color w:val="000000"/>
          <w:szCs w:val="21"/>
          <w:shd w:val="clear" w:color="auto" w:fill="FFFFFF"/>
          <w:lang w:val="el-GR"/>
        </w:rPr>
        <w:t>για περαιτέρω χρήση</w:t>
      </w:r>
      <w:r w:rsidR="00914547" w:rsidRPr="008B4793">
        <w:rPr>
          <w:rStyle w:val="Emphasis"/>
          <w:rFonts w:cstheme="minorHAnsi"/>
          <w:color w:val="000000"/>
          <w:szCs w:val="21"/>
          <w:shd w:val="clear" w:color="auto" w:fill="FFFFFF"/>
          <w:lang w:val="el-GR"/>
        </w:rPr>
        <w:t>,</w:t>
      </w:r>
      <w:r w:rsidR="00D7223F" w:rsidRPr="008B4793">
        <w:rPr>
          <w:rStyle w:val="Emphasis"/>
          <w:rFonts w:cstheme="minorHAnsi"/>
          <w:color w:val="000000"/>
          <w:szCs w:val="21"/>
          <w:shd w:val="clear" w:color="auto" w:fill="FFFFFF"/>
          <w:lang w:val="el-GR"/>
        </w:rPr>
        <w:t xml:space="preserve"> </w:t>
      </w:r>
      <w:r w:rsidR="00914547" w:rsidRPr="008B4793">
        <w:rPr>
          <w:rStyle w:val="Emphasis"/>
          <w:rFonts w:cstheme="minorHAnsi"/>
          <w:color w:val="000000"/>
          <w:szCs w:val="21"/>
          <w:shd w:val="clear" w:color="auto" w:fill="FFFFFF"/>
          <w:lang w:val="el-GR"/>
        </w:rPr>
        <w:t xml:space="preserve">ως δημόσια δεδομένα, </w:t>
      </w:r>
      <w:r w:rsidR="004A2D3B" w:rsidRPr="008B4793">
        <w:rPr>
          <w:rStyle w:val="Emphasis"/>
          <w:rFonts w:cstheme="minorHAnsi"/>
          <w:color w:val="000000"/>
          <w:szCs w:val="21"/>
          <w:shd w:val="clear" w:color="auto" w:fill="FFFFFF"/>
          <w:lang w:val="el-GR"/>
        </w:rPr>
        <w:t>έγκριτο ψηφιακό περιεχόμενο επιστήμης και πολιτισμού.</w:t>
      </w:r>
      <w:r w:rsidR="004A2D3B" w:rsidRPr="008B4793">
        <w:rPr>
          <w:rFonts w:cstheme="minorHAnsi"/>
          <w:i/>
          <w:iCs/>
          <w:color w:val="000000"/>
          <w:szCs w:val="21"/>
          <w:shd w:val="clear" w:color="auto" w:fill="FFFFFF"/>
          <w:lang w:val="el-GR"/>
        </w:rPr>
        <w:br/>
      </w:r>
      <w:r w:rsidR="004A2D3B" w:rsidRPr="008B4793">
        <w:rPr>
          <w:rStyle w:val="Emphasis"/>
          <w:rFonts w:cstheme="minorHAnsi"/>
          <w:color w:val="000000"/>
          <w:szCs w:val="21"/>
          <w:shd w:val="clear" w:color="auto" w:fill="FFFFFF"/>
          <w:lang w:val="el-GR"/>
        </w:rPr>
        <w:t xml:space="preserve">• Παράγει </w:t>
      </w:r>
      <w:r w:rsidR="00914547" w:rsidRPr="008B4793">
        <w:rPr>
          <w:rStyle w:val="Emphasis"/>
          <w:rFonts w:cstheme="minorHAnsi"/>
          <w:color w:val="000000"/>
          <w:szCs w:val="21"/>
          <w:shd w:val="clear" w:color="auto" w:fill="FFFFFF"/>
          <w:lang w:val="el-GR"/>
        </w:rPr>
        <w:t xml:space="preserve">τα επίσημα στατιστικά στοιχεία της χώρας μας για τις ευρωπαϊκές στατιστικές Έρευνας, Ανάπτυξης και Καινοτομίας. </w:t>
      </w:r>
      <w:r w:rsidR="00C61884" w:rsidRPr="008B4793">
        <w:rPr>
          <w:rStyle w:val="Emphasis"/>
          <w:rFonts w:cstheme="minorHAnsi"/>
          <w:color w:val="000000"/>
          <w:szCs w:val="21"/>
          <w:shd w:val="clear" w:color="auto" w:fill="FFFFFF"/>
          <w:lang w:val="el-GR"/>
        </w:rPr>
        <w:t>Διεξάγει έρευνες, σ</w:t>
      </w:r>
      <w:r w:rsidR="00FD009B" w:rsidRPr="008B4793">
        <w:rPr>
          <w:rStyle w:val="Emphasis"/>
          <w:rFonts w:cstheme="minorHAnsi"/>
          <w:color w:val="000000"/>
          <w:szCs w:val="21"/>
          <w:shd w:val="clear" w:color="auto" w:fill="FFFFFF"/>
          <w:lang w:val="el-GR"/>
        </w:rPr>
        <w:t xml:space="preserve">υλλέγει στοιχεία και παράγει </w:t>
      </w:r>
      <w:r w:rsidR="00914547" w:rsidRPr="008B4793">
        <w:rPr>
          <w:rStyle w:val="Emphasis"/>
          <w:rFonts w:cstheme="minorHAnsi"/>
          <w:color w:val="000000"/>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8B4793">
        <w:rPr>
          <w:rFonts w:cstheme="minorHAnsi"/>
          <w:i/>
          <w:iCs/>
          <w:color w:val="000000"/>
          <w:szCs w:val="21"/>
          <w:shd w:val="clear" w:color="auto" w:fill="FFFFFF"/>
          <w:lang w:val="el-GR"/>
        </w:rPr>
        <w:br/>
      </w:r>
      <w:r w:rsidR="004A2D3B" w:rsidRPr="008B4793">
        <w:rPr>
          <w:rStyle w:val="Emphasis"/>
          <w:rFonts w:cstheme="minorHAnsi"/>
          <w:color w:val="000000"/>
          <w:szCs w:val="21"/>
          <w:shd w:val="clear" w:color="auto" w:fill="FFFFFF"/>
          <w:lang w:val="el-GR"/>
        </w:rPr>
        <w:t xml:space="preserve">• </w:t>
      </w:r>
      <w:r w:rsidR="00FD009B" w:rsidRPr="008B4793">
        <w:rPr>
          <w:rStyle w:val="Emphasis"/>
          <w:rFonts w:cstheme="minorHAnsi"/>
          <w:color w:val="000000"/>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rsidR="006B6A9A" w:rsidRPr="008B4793" w:rsidRDefault="00FD009B" w:rsidP="00AE3218">
      <w:pPr>
        <w:spacing w:after="0"/>
        <w:rPr>
          <w:rStyle w:val="Emphasis"/>
          <w:rFonts w:cstheme="minorHAnsi"/>
          <w:color w:val="000000"/>
          <w:szCs w:val="21"/>
          <w:shd w:val="clear" w:color="auto" w:fill="FFFFFF"/>
          <w:lang w:val="el-GR"/>
        </w:rPr>
      </w:pPr>
      <w:r w:rsidRPr="008B4793">
        <w:rPr>
          <w:rStyle w:val="Emphasis"/>
          <w:rFonts w:cstheme="minorHAnsi"/>
          <w:color w:val="000000"/>
          <w:szCs w:val="21"/>
          <w:shd w:val="clear" w:color="auto" w:fill="FFFFFF"/>
          <w:lang w:val="el-GR"/>
        </w:rPr>
        <w:t xml:space="preserve">• </w:t>
      </w:r>
      <w:r w:rsidR="004A2D3B" w:rsidRPr="008B4793">
        <w:rPr>
          <w:rStyle w:val="Emphasis"/>
          <w:rFonts w:cstheme="minorHAnsi"/>
          <w:color w:val="000000"/>
          <w:szCs w:val="21"/>
          <w:shd w:val="clear" w:color="auto" w:fill="FFFFFF"/>
          <w:lang w:val="el-GR"/>
        </w:rPr>
        <w:t xml:space="preserve">Υποστηρίζει τις επιχειρήσεις </w:t>
      </w:r>
      <w:r w:rsidR="007C52AC" w:rsidRPr="008B4793">
        <w:rPr>
          <w:rStyle w:val="Emphasis"/>
          <w:rFonts w:cstheme="minorHAnsi"/>
          <w:color w:val="000000"/>
          <w:szCs w:val="21"/>
          <w:shd w:val="clear" w:color="auto" w:fill="FFFFFF"/>
          <w:lang w:val="el-GR"/>
        </w:rPr>
        <w:t xml:space="preserve">ώστε </w:t>
      </w:r>
      <w:r w:rsidR="004A2D3B" w:rsidRPr="008B4793">
        <w:rPr>
          <w:rStyle w:val="Emphasis"/>
          <w:rFonts w:cstheme="minorHAnsi"/>
          <w:color w:val="000000"/>
          <w:szCs w:val="21"/>
          <w:shd w:val="clear" w:color="auto" w:fill="FFFFFF"/>
          <w:lang w:val="el-GR"/>
        </w:rPr>
        <w:t>να δικτυωθούν, να γίνουν εξωστρεφείς και να συνεργαστούν με την ερευνητική κοινότητα</w:t>
      </w:r>
      <w:r w:rsidR="005664E1" w:rsidRPr="008B4793">
        <w:rPr>
          <w:rStyle w:val="Emphasis"/>
          <w:rFonts w:cstheme="minorHAnsi"/>
          <w:color w:val="000000"/>
          <w:szCs w:val="21"/>
          <w:shd w:val="clear" w:color="auto" w:fill="FFFFFF"/>
          <w:lang w:val="el-GR"/>
        </w:rPr>
        <w:t>.</w:t>
      </w:r>
    </w:p>
    <w:p w:rsidR="00AE3218" w:rsidRDefault="00AE3218" w:rsidP="00FD6B5F">
      <w:pPr>
        <w:spacing w:after="0"/>
        <w:rPr>
          <w:b/>
          <w:sz w:val="28"/>
          <w:lang w:val="el-GR"/>
        </w:rPr>
      </w:pPr>
    </w:p>
    <w:p w:rsidR="00FD6B5F" w:rsidRDefault="00FD6B5F" w:rsidP="00FD6B5F">
      <w:pPr>
        <w:spacing w:after="0"/>
        <w:rPr>
          <w:b/>
          <w:sz w:val="28"/>
          <w:lang w:val="el-GR"/>
        </w:rPr>
      </w:pPr>
      <w:r>
        <w:rPr>
          <w:b/>
          <w:sz w:val="28"/>
          <w:lang w:val="el-GR"/>
        </w:rPr>
        <w:lastRenderedPageBreak/>
        <w:t>Επιλεγμένα δ</w:t>
      </w:r>
      <w:r w:rsidRPr="008F102D">
        <w:rPr>
          <w:b/>
          <w:sz w:val="28"/>
          <w:lang w:val="el-GR"/>
        </w:rPr>
        <w:t>ιαγράμματα</w:t>
      </w:r>
      <w:r>
        <w:rPr>
          <w:b/>
          <w:sz w:val="28"/>
          <w:lang w:val="el-GR"/>
        </w:rPr>
        <w:t xml:space="preserve"> της έκδοσης του ΕΚΤ </w:t>
      </w:r>
      <w:r>
        <w:rPr>
          <w:b/>
          <w:sz w:val="28"/>
          <w:lang w:val="el-GR"/>
        </w:rPr>
        <w:br/>
      </w:r>
      <w:r w:rsidR="00BE185A" w:rsidRPr="00BE185A">
        <w:rPr>
          <w:b/>
          <w:sz w:val="28"/>
          <w:lang w:val="el-GR"/>
        </w:rPr>
        <w:t xml:space="preserve">"Βασικοί </w:t>
      </w:r>
      <w:r w:rsidR="00231188">
        <w:rPr>
          <w:b/>
          <w:sz w:val="28"/>
          <w:lang w:val="el-GR"/>
        </w:rPr>
        <w:t>δ</w:t>
      </w:r>
      <w:r w:rsidR="00BE185A" w:rsidRPr="00BE185A">
        <w:rPr>
          <w:b/>
          <w:sz w:val="28"/>
          <w:lang w:val="el-GR"/>
        </w:rPr>
        <w:t xml:space="preserve">είκτες για την </w:t>
      </w:r>
      <w:r w:rsidR="00231188">
        <w:rPr>
          <w:b/>
          <w:sz w:val="28"/>
          <w:lang w:val="el-GR"/>
        </w:rPr>
        <w:t>κ</w:t>
      </w:r>
      <w:r w:rsidR="00BE185A" w:rsidRPr="00BE185A">
        <w:rPr>
          <w:b/>
          <w:sz w:val="28"/>
          <w:lang w:val="el-GR"/>
        </w:rPr>
        <w:t xml:space="preserve">αινοτομία στις </w:t>
      </w:r>
      <w:r w:rsidR="00231188">
        <w:rPr>
          <w:b/>
          <w:sz w:val="28"/>
          <w:lang w:val="el-GR"/>
        </w:rPr>
        <w:t>ε</w:t>
      </w:r>
      <w:r w:rsidR="00BE185A" w:rsidRPr="00BE185A">
        <w:rPr>
          <w:b/>
          <w:sz w:val="28"/>
          <w:lang w:val="el-GR"/>
        </w:rPr>
        <w:t xml:space="preserve">λληνικές </w:t>
      </w:r>
      <w:r w:rsidR="00231188">
        <w:rPr>
          <w:b/>
          <w:sz w:val="28"/>
          <w:lang w:val="el-GR"/>
        </w:rPr>
        <w:t>ε</w:t>
      </w:r>
      <w:r w:rsidR="00BE185A" w:rsidRPr="00BE185A">
        <w:rPr>
          <w:b/>
          <w:sz w:val="28"/>
          <w:lang w:val="el-GR"/>
        </w:rPr>
        <w:t>πιχειρήσεις 2018-2020"</w:t>
      </w:r>
    </w:p>
    <w:p w:rsidR="00FD6B5F" w:rsidRDefault="00FD6B5F" w:rsidP="00FD6B5F">
      <w:pPr>
        <w:spacing w:after="0"/>
        <w:rPr>
          <w:b/>
          <w:sz w:val="28"/>
          <w:lang w:val="el-GR"/>
        </w:rPr>
      </w:pPr>
    </w:p>
    <w:p w:rsidR="00A41D62" w:rsidRPr="002877DF" w:rsidRDefault="00AE3218" w:rsidP="00A41D62">
      <w:pPr>
        <w:shd w:val="clear" w:color="auto" w:fill="FFFFFF"/>
        <w:spacing w:after="0" w:line="300" w:lineRule="atLeast"/>
        <w:rPr>
          <w:rFonts w:eastAsia="Times New Roman" w:cstheme="minorHAnsi"/>
          <w:color w:val="000000" w:themeColor="text1"/>
          <w:spacing w:val="12"/>
          <w:sz w:val="26"/>
          <w:szCs w:val="26"/>
          <w:lang w:val="el-GR"/>
        </w:rPr>
      </w:pPr>
      <w:r w:rsidRPr="002877DF">
        <w:rPr>
          <w:noProof/>
          <w:sz w:val="26"/>
          <w:szCs w:val="26"/>
        </w:rPr>
        <w:drawing>
          <wp:anchor distT="0" distB="0" distL="114300" distR="114300" simplePos="0" relativeHeight="251661312" behindDoc="0" locked="0" layoutInCell="1" allowOverlap="1" wp14:anchorId="47FC6AB1" wp14:editId="3995E4C3">
            <wp:simplePos x="0" y="0"/>
            <wp:positionH relativeFrom="margin">
              <wp:align>right</wp:align>
            </wp:positionH>
            <wp:positionV relativeFrom="paragraph">
              <wp:posOffset>538480</wp:posOffset>
            </wp:positionV>
            <wp:extent cx="5943600" cy="311467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1208F" w:rsidRPr="002877DF">
        <w:rPr>
          <w:rFonts w:eastAsia="Times New Roman" w:cstheme="minorHAnsi"/>
          <w:color w:val="000000" w:themeColor="text1"/>
          <w:spacing w:val="12"/>
          <w:sz w:val="26"/>
          <w:szCs w:val="26"/>
          <w:lang w:val="el-GR"/>
        </w:rPr>
        <w:t xml:space="preserve">Ποσοστό (%) καινοτόμων επιχειρήσεων, </w:t>
      </w:r>
      <w:r w:rsidR="00077CBD" w:rsidRPr="002877DF">
        <w:rPr>
          <w:rFonts w:eastAsia="Times New Roman" w:cstheme="minorHAnsi"/>
          <w:color w:val="000000" w:themeColor="text1"/>
          <w:spacing w:val="12"/>
          <w:sz w:val="26"/>
          <w:szCs w:val="26"/>
          <w:lang w:val="el-GR"/>
        </w:rPr>
        <w:br/>
      </w:r>
      <w:r w:rsidR="0011208F" w:rsidRPr="002877DF">
        <w:rPr>
          <w:rFonts w:eastAsia="Times New Roman" w:cstheme="minorHAnsi"/>
          <w:color w:val="000000" w:themeColor="text1"/>
          <w:spacing w:val="12"/>
          <w:sz w:val="26"/>
          <w:szCs w:val="26"/>
          <w:lang w:val="el-GR"/>
        </w:rPr>
        <w:t>Community Innovation Survey (CIS) 2012, 2014, 2016, 2018, 2020</w:t>
      </w:r>
    </w:p>
    <w:p w:rsidR="00231188" w:rsidRPr="00231188" w:rsidRDefault="00231188" w:rsidP="00231188">
      <w:pPr>
        <w:shd w:val="clear" w:color="auto" w:fill="FFFFFF"/>
        <w:spacing w:after="0" w:line="300" w:lineRule="atLeast"/>
        <w:rPr>
          <w:rFonts w:eastAsia="Times New Roman" w:cstheme="minorHAnsi"/>
          <w:color w:val="000000" w:themeColor="text1"/>
          <w:spacing w:val="12"/>
          <w:sz w:val="20"/>
          <w:szCs w:val="18"/>
          <w:lang w:val="el-GR"/>
        </w:rPr>
      </w:pPr>
      <w:r w:rsidRPr="00231188">
        <w:rPr>
          <w:rFonts w:cs="Arial"/>
          <w:iCs/>
          <w:sz w:val="18"/>
          <w:szCs w:val="18"/>
          <w:lang w:val="el-GR"/>
        </w:rPr>
        <w:t xml:space="preserve">ΠΗΓΗ: </w:t>
      </w:r>
      <w:r w:rsidRPr="00231188">
        <w:rPr>
          <w:rFonts w:cs="Arial"/>
          <w:iCs/>
          <w:sz w:val="20"/>
          <w:szCs w:val="18"/>
          <w:lang w:val="el-GR"/>
        </w:rPr>
        <w:t xml:space="preserve">Βασικοί </w:t>
      </w:r>
      <w:r>
        <w:rPr>
          <w:rFonts w:cs="Arial"/>
          <w:iCs/>
          <w:sz w:val="20"/>
          <w:szCs w:val="18"/>
          <w:lang w:val="el-GR"/>
        </w:rPr>
        <w:t>δ</w:t>
      </w:r>
      <w:r w:rsidRPr="00231188">
        <w:rPr>
          <w:rFonts w:cs="Arial"/>
          <w:iCs/>
          <w:sz w:val="20"/>
          <w:szCs w:val="18"/>
          <w:lang w:val="el-GR"/>
        </w:rPr>
        <w:t xml:space="preserve">είκτες για την </w:t>
      </w:r>
      <w:r>
        <w:rPr>
          <w:rFonts w:cs="Arial"/>
          <w:iCs/>
          <w:sz w:val="20"/>
          <w:szCs w:val="18"/>
          <w:lang w:val="el-GR"/>
        </w:rPr>
        <w:t>κ</w:t>
      </w:r>
      <w:r w:rsidRPr="00231188">
        <w:rPr>
          <w:rFonts w:cs="Arial"/>
          <w:iCs/>
          <w:sz w:val="20"/>
          <w:szCs w:val="18"/>
          <w:lang w:val="el-GR"/>
        </w:rPr>
        <w:t xml:space="preserve">αινοτομία στις </w:t>
      </w:r>
      <w:r>
        <w:rPr>
          <w:rFonts w:cs="Arial"/>
          <w:iCs/>
          <w:sz w:val="20"/>
          <w:szCs w:val="18"/>
          <w:lang w:val="el-GR"/>
        </w:rPr>
        <w:t>ε</w:t>
      </w:r>
      <w:r w:rsidRPr="00231188">
        <w:rPr>
          <w:rFonts w:cs="Arial"/>
          <w:iCs/>
          <w:sz w:val="20"/>
          <w:szCs w:val="18"/>
          <w:lang w:val="el-GR"/>
        </w:rPr>
        <w:t xml:space="preserve">λληνικές </w:t>
      </w:r>
      <w:r>
        <w:rPr>
          <w:rFonts w:cs="Arial"/>
          <w:iCs/>
          <w:sz w:val="20"/>
          <w:szCs w:val="18"/>
          <w:lang w:val="el-GR"/>
        </w:rPr>
        <w:t>ε</w:t>
      </w:r>
      <w:r w:rsidRPr="00231188">
        <w:rPr>
          <w:rFonts w:cs="Arial"/>
          <w:iCs/>
          <w:sz w:val="20"/>
          <w:szCs w:val="18"/>
          <w:lang w:val="el-GR"/>
        </w:rPr>
        <w:t xml:space="preserve">πιχειρήσεις 2018-2020, </w:t>
      </w:r>
      <w:r w:rsidRPr="00231188">
        <w:rPr>
          <w:rFonts w:cs="Arial"/>
          <w:iCs/>
          <w:sz w:val="20"/>
          <w:szCs w:val="18"/>
        </w:rPr>
        <w:t>EKT</w:t>
      </w:r>
      <w:r w:rsidRPr="00231188">
        <w:rPr>
          <w:rFonts w:cs="Arial"/>
          <w:iCs/>
          <w:sz w:val="20"/>
          <w:szCs w:val="18"/>
          <w:lang w:val="el-GR"/>
        </w:rPr>
        <w:t xml:space="preserve"> </w:t>
      </w:r>
    </w:p>
    <w:p w:rsidR="00FD6B5F" w:rsidRDefault="00FD6B5F" w:rsidP="00FD6B5F">
      <w:pPr>
        <w:shd w:val="clear" w:color="auto" w:fill="FFFFFF"/>
        <w:spacing w:after="0" w:line="300" w:lineRule="atLeast"/>
        <w:rPr>
          <w:rFonts w:ascii="Arial" w:hAnsi="Arial" w:cs="Arial"/>
          <w:b/>
          <w:sz w:val="21"/>
          <w:szCs w:val="21"/>
          <w:lang w:val="el-GR"/>
        </w:rPr>
      </w:pPr>
    </w:p>
    <w:p w:rsidR="00FD6B5F" w:rsidRDefault="00FD6B5F" w:rsidP="00FD6B5F">
      <w:pPr>
        <w:spacing w:after="0" w:line="240" w:lineRule="auto"/>
        <w:rPr>
          <w:rFonts w:ascii="Arial" w:hAnsi="Arial" w:cs="Arial"/>
          <w:b/>
          <w:sz w:val="21"/>
          <w:szCs w:val="21"/>
          <w:lang w:val="el-GR"/>
        </w:rPr>
      </w:pPr>
      <w:r>
        <w:rPr>
          <w:rFonts w:ascii="Arial" w:hAnsi="Arial" w:cs="Arial"/>
          <w:b/>
          <w:sz w:val="21"/>
          <w:szCs w:val="21"/>
          <w:lang w:val="el-GR"/>
        </w:rPr>
        <w:br w:type="page"/>
      </w:r>
    </w:p>
    <w:p w:rsidR="00013988" w:rsidRPr="002877DF" w:rsidRDefault="00013988" w:rsidP="00A41D62">
      <w:pPr>
        <w:shd w:val="clear" w:color="auto" w:fill="FFFFFF"/>
        <w:spacing w:after="0" w:line="300" w:lineRule="atLeast"/>
        <w:rPr>
          <w:rFonts w:eastAsia="Times New Roman" w:cstheme="minorHAnsi"/>
          <w:color w:val="000000" w:themeColor="text1"/>
          <w:spacing w:val="12"/>
          <w:sz w:val="26"/>
          <w:szCs w:val="26"/>
          <w:lang w:val="el-GR"/>
        </w:rPr>
      </w:pPr>
      <w:r w:rsidRPr="002877DF">
        <w:rPr>
          <w:rFonts w:eastAsia="Times New Roman" w:cstheme="minorHAnsi"/>
          <w:color w:val="000000" w:themeColor="text1"/>
          <w:spacing w:val="12"/>
          <w:sz w:val="26"/>
          <w:szCs w:val="26"/>
          <w:lang w:val="el-GR"/>
        </w:rPr>
        <w:lastRenderedPageBreak/>
        <w:t>Ποσοστό (%) καινοτόμων επιχειρήσεων ανά πρωτεύοντα κλάδο οικονομικής δραστηριότητας στις Υπηρεσίες,</w:t>
      </w:r>
      <w:r w:rsidR="002877DF">
        <w:rPr>
          <w:rFonts w:eastAsia="Times New Roman" w:cstheme="minorHAnsi"/>
          <w:color w:val="000000" w:themeColor="text1"/>
          <w:spacing w:val="12"/>
          <w:sz w:val="26"/>
          <w:szCs w:val="26"/>
          <w:lang w:val="el-GR"/>
        </w:rPr>
        <w:t xml:space="preserve"> </w:t>
      </w:r>
      <w:r w:rsidRPr="002877DF">
        <w:rPr>
          <w:rFonts w:eastAsia="Times New Roman" w:cstheme="minorHAnsi"/>
          <w:color w:val="000000" w:themeColor="text1"/>
          <w:spacing w:val="12"/>
          <w:sz w:val="26"/>
          <w:szCs w:val="26"/>
          <w:lang w:val="el-GR"/>
        </w:rPr>
        <w:t xml:space="preserve">Community </w:t>
      </w:r>
      <w:proofErr w:type="spellStart"/>
      <w:r w:rsidRPr="002877DF">
        <w:rPr>
          <w:rFonts w:eastAsia="Times New Roman" w:cstheme="minorHAnsi"/>
          <w:color w:val="000000" w:themeColor="text1"/>
          <w:spacing w:val="12"/>
          <w:sz w:val="26"/>
          <w:szCs w:val="26"/>
          <w:lang w:val="el-GR"/>
        </w:rPr>
        <w:t>Innovation</w:t>
      </w:r>
      <w:proofErr w:type="spellEnd"/>
      <w:r w:rsidRPr="002877DF">
        <w:rPr>
          <w:rFonts w:eastAsia="Times New Roman" w:cstheme="minorHAnsi"/>
          <w:color w:val="000000" w:themeColor="text1"/>
          <w:spacing w:val="12"/>
          <w:sz w:val="26"/>
          <w:szCs w:val="26"/>
          <w:lang w:val="el-GR"/>
        </w:rPr>
        <w:t xml:space="preserve"> </w:t>
      </w:r>
      <w:proofErr w:type="spellStart"/>
      <w:r w:rsidRPr="002877DF">
        <w:rPr>
          <w:rFonts w:eastAsia="Times New Roman" w:cstheme="minorHAnsi"/>
          <w:color w:val="000000" w:themeColor="text1"/>
          <w:spacing w:val="12"/>
          <w:sz w:val="26"/>
          <w:szCs w:val="26"/>
          <w:lang w:val="el-GR"/>
        </w:rPr>
        <w:t>Survey</w:t>
      </w:r>
      <w:proofErr w:type="spellEnd"/>
      <w:r w:rsidRPr="002877DF">
        <w:rPr>
          <w:rFonts w:eastAsia="Times New Roman" w:cstheme="minorHAnsi"/>
          <w:color w:val="000000" w:themeColor="text1"/>
          <w:spacing w:val="12"/>
          <w:sz w:val="26"/>
          <w:szCs w:val="26"/>
          <w:lang w:val="el-GR"/>
        </w:rPr>
        <w:t xml:space="preserve"> (CIS) 2012, 2014, 2016, 2018, 2020</w:t>
      </w:r>
    </w:p>
    <w:p w:rsidR="00013988" w:rsidRDefault="00013988" w:rsidP="00013988">
      <w:pPr>
        <w:shd w:val="clear" w:color="auto" w:fill="FFFFFF"/>
        <w:spacing w:after="0" w:line="300" w:lineRule="atLeast"/>
        <w:rPr>
          <w:rFonts w:eastAsia="Times New Roman" w:cstheme="minorHAnsi"/>
          <w:color w:val="000000" w:themeColor="text1"/>
          <w:spacing w:val="12"/>
          <w:sz w:val="28"/>
          <w:szCs w:val="18"/>
          <w:lang w:val="el-GR"/>
        </w:rPr>
      </w:pPr>
      <w:r>
        <w:rPr>
          <w:noProof/>
        </w:rPr>
        <w:drawing>
          <wp:anchor distT="0" distB="0" distL="114300" distR="114300" simplePos="0" relativeHeight="251671552" behindDoc="0" locked="0" layoutInCell="1" allowOverlap="1" wp14:anchorId="57FEEE47" wp14:editId="6A07EB8A">
            <wp:simplePos x="0" y="0"/>
            <wp:positionH relativeFrom="margin">
              <wp:posOffset>0</wp:posOffset>
            </wp:positionH>
            <wp:positionV relativeFrom="paragraph">
              <wp:posOffset>219075</wp:posOffset>
            </wp:positionV>
            <wp:extent cx="5943600" cy="4400550"/>
            <wp:effectExtent l="0" t="0" r="0" b="0"/>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077CBD" w:rsidRPr="00231188" w:rsidRDefault="00077CBD" w:rsidP="00077CBD">
      <w:pPr>
        <w:shd w:val="clear" w:color="auto" w:fill="FFFFFF"/>
        <w:spacing w:after="0" w:line="300" w:lineRule="atLeast"/>
        <w:rPr>
          <w:rFonts w:eastAsia="Times New Roman" w:cstheme="minorHAnsi"/>
          <w:color w:val="000000" w:themeColor="text1"/>
          <w:spacing w:val="12"/>
          <w:sz w:val="20"/>
          <w:szCs w:val="18"/>
          <w:lang w:val="el-GR"/>
        </w:rPr>
      </w:pPr>
      <w:r w:rsidRPr="00231188">
        <w:rPr>
          <w:rFonts w:cs="Arial"/>
          <w:iCs/>
          <w:sz w:val="18"/>
          <w:szCs w:val="18"/>
          <w:lang w:val="el-GR"/>
        </w:rPr>
        <w:t xml:space="preserve">ΠΗΓΗ: </w:t>
      </w:r>
      <w:r w:rsidRPr="00231188">
        <w:rPr>
          <w:rFonts w:cs="Arial"/>
          <w:iCs/>
          <w:sz w:val="20"/>
          <w:szCs w:val="18"/>
          <w:lang w:val="el-GR"/>
        </w:rPr>
        <w:t xml:space="preserve">Βασικοί </w:t>
      </w:r>
      <w:r>
        <w:rPr>
          <w:rFonts w:cs="Arial"/>
          <w:iCs/>
          <w:sz w:val="20"/>
          <w:szCs w:val="18"/>
          <w:lang w:val="el-GR"/>
        </w:rPr>
        <w:t>δ</w:t>
      </w:r>
      <w:r w:rsidRPr="00231188">
        <w:rPr>
          <w:rFonts w:cs="Arial"/>
          <w:iCs/>
          <w:sz w:val="20"/>
          <w:szCs w:val="18"/>
          <w:lang w:val="el-GR"/>
        </w:rPr>
        <w:t xml:space="preserve">είκτες για την </w:t>
      </w:r>
      <w:r>
        <w:rPr>
          <w:rFonts w:cs="Arial"/>
          <w:iCs/>
          <w:sz w:val="20"/>
          <w:szCs w:val="18"/>
          <w:lang w:val="el-GR"/>
        </w:rPr>
        <w:t>κ</w:t>
      </w:r>
      <w:r w:rsidRPr="00231188">
        <w:rPr>
          <w:rFonts w:cs="Arial"/>
          <w:iCs/>
          <w:sz w:val="20"/>
          <w:szCs w:val="18"/>
          <w:lang w:val="el-GR"/>
        </w:rPr>
        <w:t xml:space="preserve">αινοτομία στις </w:t>
      </w:r>
      <w:r>
        <w:rPr>
          <w:rFonts w:cs="Arial"/>
          <w:iCs/>
          <w:sz w:val="20"/>
          <w:szCs w:val="18"/>
          <w:lang w:val="el-GR"/>
        </w:rPr>
        <w:t>ε</w:t>
      </w:r>
      <w:r w:rsidRPr="00231188">
        <w:rPr>
          <w:rFonts w:cs="Arial"/>
          <w:iCs/>
          <w:sz w:val="20"/>
          <w:szCs w:val="18"/>
          <w:lang w:val="el-GR"/>
        </w:rPr>
        <w:t xml:space="preserve">λληνικές </w:t>
      </w:r>
      <w:r>
        <w:rPr>
          <w:rFonts w:cs="Arial"/>
          <w:iCs/>
          <w:sz w:val="20"/>
          <w:szCs w:val="18"/>
          <w:lang w:val="el-GR"/>
        </w:rPr>
        <w:t>ε</w:t>
      </w:r>
      <w:r w:rsidRPr="00231188">
        <w:rPr>
          <w:rFonts w:cs="Arial"/>
          <w:iCs/>
          <w:sz w:val="20"/>
          <w:szCs w:val="18"/>
          <w:lang w:val="el-GR"/>
        </w:rPr>
        <w:t xml:space="preserve">πιχειρήσεις 2018-2020, </w:t>
      </w:r>
      <w:r w:rsidRPr="00231188">
        <w:rPr>
          <w:rFonts w:cs="Arial"/>
          <w:iCs/>
          <w:sz w:val="20"/>
          <w:szCs w:val="18"/>
        </w:rPr>
        <w:t>EKT</w:t>
      </w:r>
      <w:r w:rsidRPr="00231188">
        <w:rPr>
          <w:rFonts w:cs="Arial"/>
          <w:iCs/>
          <w:sz w:val="20"/>
          <w:szCs w:val="18"/>
          <w:lang w:val="el-GR"/>
        </w:rPr>
        <w:t xml:space="preserve"> </w:t>
      </w: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013988" w:rsidRDefault="00013988"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2877DF" w:rsidRDefault="002877DF"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2877DF" w:rsidRDefault="002877DF" w:rsidP="0011208F">
      <w:pPr>
        <w:shd w:val="clear" w:color="auto" w:fill="FFFFFF"/>
        <w:spacing w:after="0" w:line="300" w:lineRule="atLeast"/>
        <w:jc w:val="both"/>
        <w:rPr>
          <w:rFonts w:eastAsia="Times New Roman" w:cstheme="minorHAnsi"/>
          <w:color w:val="000000" w:themeColor="text1"/>
          <w:spacing w:val="12"/>
          <w:sz w:val="28"/>
          <w:szCs w:val="18"/>
          <w:lang w:val="el-GR"/>
        </w:rPr>
      </w:pPr>
    </w:p>
    <w:p w:rsidR="0011208F" w:rsidRPr="002877DF" w:rsidRDefault="0011208F" w:rsidP="00A41D62">
      <w:pPr>
        <w:shd w:val="clear" w:color="auto" w:fill="FFFFFF"/>
        <w:spacing w:after="0" w:line="300" w:lineRule="atLeast"/>
        <w:rPr>
          <w:rFonts w:eastAsia="Times New Roman" w:cstheme="minorHAnsi"/>
          <w:color w:val="000000" w:themeColor="text1"/>
          <w:spacing w:val="12"/>
          <w:sz w:val="26"/>
          <w:szCs w:val="26"/>
          <w:lang w:val="el-GR"/>
        </w:rPr>
      </w:pPr>
      <w:r w:rsidRPr="002877DF">
        <w:rPr>
          <w:rFonts w:eastAsia="Times New Roman" w:cstheme="minorHAnsi"/>
          <w:color w:val="000000" w:themeColor="text1"/>
          <w:spacing w:val="12"/>
          <w:sz w:val="26"/>
          <w:szCs w:val="26"/>
          <w:lang w:val="el-GR"/>
        </w:rPr>
        <w:lastRenderedPageBreak/>
        <w:t xml:space="preserve">Ποσοστό (%) καινοτόμων επιχειρήσεων ανά πρωτεύοντα κλάδο οικονομικής δραστηριότητας στη Βιομηχανία, Community </w:t>
      </w:r>
      <w:proofErr w:type="spellStart"/>
      <w:r w:rsidRPr="002877DF">
        <w:rPr>
          <w:rFonts w:eastAsia="Times New Roman" w:cstheme="minorHAnsi"/>
          <w:color w:val="000000" w:themeColor="text1"/>
          <w:spacing w:val="12"/>
          <w:sz w:val="26"/>
          <w:szCs w:val="26"/>
          <w:lang w:val="el-GR"/>
        </w:rPr>
        <w:t>Innovation</w:t>
      </w:r>
      <w:proofErr w:type="spellEnd"/>
      <w:r w:rsidRPr="002877DF">
        <w:rPr>
          <w:rFonts w:eastAsia="Times New Roman" w:cstheme="minorHAnsi"/>
          <w:color w:val="000000" w:themeColor="text1"/>
          <w:spacing w:val="12"/>
          <w:sz w:val="26"/>
          <w:szCs w:val="26"/>
          <w:lang w:val="el-GR"/>
        </w:rPr>
        <w:t xml:space="preserve"> </w:t>
      </w:r>
      <w:proofErr w:type="spellStart"/>
      <w:r w:rsidRPr="002877DF">
        <w:rPr>
          <w:rFonts w:eastAsia="Times New Roman" w:cstheme="minorHAnsi"/>
          <w:color w:val="000000" w:themeColor="text1"/>
          <w:spacing w:val="12"/>
          <w:sz w:val="26"/>
          <w:szCs w:val="26"/>
          <w:lang w:val="el-GR"/>
        </w:rPr>
        <w:t>Survey</w:t>
      </w:r>
      <w:proofErr w:type="spellEnd"/>
      <w:r w:rsidRPr="002877DF">
        <w:rPr>
          <w:rFonts w:eastAsia="Times New Roman" w:cstheme="minorHAnsi"/>
          <w:color w:val="000000" w:themeColor="text1"/>
          <w:spacing w:val="12"/>
          <w:sz w:val="26"/>
          <w:szCs w:val="26"/>
          <w:lang w:val="el-GR"/>
        </w:rPr>
        <w:t xml:space="preserve"> (CIS) 2012, 2014, 2016, 2018, 2020</w:t>
      </w:r>
    </w:p>
    <w:p w:rsidR="0011208F" w:rsidRDefault="00231188" w:rsidP="0011208F">
      <w:pPr>
        <w:shd w:val="clear" w:color="auto" w:fill="FFFFFF"/>
        <w:spacing w:after="0" w:line="300" w:lineRule="atLeast"/>
        <w:rPr>
          <w:rFonts w:eastAsia="Times New Roman" w:cstheme="minorHAnsi"/>
          <w:color w:val="000000" w:themeColor="text1"/>
          <w:spacing w:val="12"/>
          <w:sz w:val="28"/>
          <w:szCs w:val="18"/>
          <w:lang w:val="el-GR"/>
        </w:rPr>
      </w:pPr>
      <w:r>
        <w:rPr>
          <w:noProof/>
        </w:rPr>
        <w:drawing>
          <wp:anchor distT="0" distB="0" distL="114300" distR="114300" simplePos="0" relativeHeight="251663360" behindDoc="0" locked="0" layoutInCell="1" allowOverlap="1" wp14:anchorId="4675EC39" wp14:editId="34F42950">
            <wp:simplePos x="0" y="0"/>
            <wp:positionH relativeFrom="column">
              <wp:posOffset>0</wp:posOffset>
            </wp:positionH>
            <wp:positionV relativeFrom="paragraph">
              <wp:posOffset>219075</wp:posOffset>
            </wp:positionV>
            <wp:extent cx="5943600" cy="4581525"/>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077CBD" w:rsidRPr="00231188" w:rsidRDefault="00077CBD" w:rsidP="00077CBD">
      <w:pPr>
        <w:shd w:val="clear" w:color="auto" w:fill="FFFFFF"/>
        <w:spacing w:after="0" w:line="300" w:lineRule="atLeast"/>
        <w:rPr>
          <w:rFonts w:eastAsia="Times New Roman" w:cstheme="minorHAnsi"/>
          <w:color w:val="000000" w:themeColor="text1"/>
          <w:spacing w:val="12"/>
          <w:sz w:val="20"/>
          <w:szCs w:val="18"/>
          <w:lang w:val="el-GR"/>
        </w:rPr>
      </w:pPr>
      <w:r w:rsidRPr="00231188">
        <w:rPr>
          <w:rFonts w:cs="Arial"/>
          <w:iCs/>
          <w:sz w:val="18"/>
          <w:szCs w:val="18"/>
          <w:lang w:val="el-GR"/>
        </w:rPr>
        <w:t xml:space="preserve">ΠΗΓΗ: </w:t>
      </w:r>
      <w:r w:rsidRPr="00231188">
        <w:rPr>
          <w:rFonts w:cs="Arial"/>
          <w:iCs/>
          <w:sz w:val="20"/>
          <w:szCs w:val="18"/>
          <w:lang w:val="el-GR"/>
        </w:rPr>
        <w:t xml:space="preserve">Βασικοί </w:t>
      </w:r>
      <w:r>
        <w:rPr>
          <w:rFonts w:cs="Arial"/>
          <w:iCs/>
          <w:sz w:val="20"/>
          <w:szCs w:val="18"/>
          <w:lang w:val="el-GR"/>
        </w:rPr>
        <w:t>δ</w:t>
      </w:r>
      <w:r w:rsidRPr="00231188">
        <w:rPr>
          <w:rFonts w:cs="Arial"/>
          <w:iCs/>
          <w:sz w:val="20"/>
          <w:szCs w:val="18"/>
          <w:lang w:val="el-GR"/>
        </w:rPr>
        <w:t xml:space="preserve">είκτες για την </w:t>
      </w:r>
      <w:r>
        <w:rPr>
          <w:rFonts w:cs="Arial"/>
          <w:iCs/>
          <w:sz w:val="20"/>
          <w:szCs w:val="18"/>
          <w:lang w:val="el-GR"/>
        </w:rPr>
        <w:t>κ</w:t>
      </w:r>
      <w:r w:rsidRPr="00231188">
        <w:rPr>
          <w:rFonts w:cs="Arial"/>
          <w:iCs/>
          <w:sz w:val="20"/>
          <w:szCs w:val="18"/>
          <w:lang w:val="el-GR"/>
        </w:rPr>
        <w:t xml:space="preserve">αινοτομία στις </w:t>
      </w:r>
      <w:r>
        <w:rPr>
          <w:rFonts w:cs="Arial"/>
          <w:iCs/>
          <w:sz w:val="20"/>
          <w:szCs w:val="18"/>
          <w:lang w:val="el-GR"/>
        </w:rPr>
        <w:t>ε</w:t>
      </w:r>
      <w:r w:rsidRPr="00231188">
        <w:rPr>
          <w:rFonts w:cs="Arial"/>
          <w:iCs/>
          <w:sz w:val="20"/>
          <w:szCs w:val="18"/>
          <w:lang w:val="el-GR"/>
        </w:rPr>
        <w:t xml:space="preserve">λληνικές </w:t>
      </w:r>
      <w:r>
        <w:rPr>
          <w:rFonts w:cs="Arial"/>
          <w:iCs/>
          <w:sz w:val="20"/>
          <w:szCs w:val="18"/>
          <w:lang w:val="el-GR"/>
        </w:rPr>
        <w:t>ε</w:t>
      </w:r>
      <w:r w:rsidRPr="00231188">
        <w:rPr>
          <w:rFonts w:cs="Arial"/>
          <w:iCs/>
          <w:sz w:val="20"/>
          <w:szCs w:val="18"/>
          <w:lang w:val="el-GR"/>
        </w:rPr>
        <w:t xml:space="preserve">πιχειρήσεις 2018-2020, </w:t>
      </w:r>
      <w:r w:rsidRPr="00231188">
        <w:rPr>
          <w:rFonts w:cs="Arial"/>
          <w:iCs/>
          <w:sz w:val="20"/>
          <w:szCs w:val="18"/>
        </w:rPr>
        <w:t>EKT</w:t>
      </w:r>
      <w:r w:rsidRPr="00231188">
        <w:rPr>
          <w:rFonts w:cs="Arial"/>
          <w:iCs/>
          <w:sz w:val="20"/>
          <w:szCs w:val="18"/>
          <w:lang w:val="el-GR"/>
        </w:rPr>
        <w:t xml:space="preserve"> </w:t>
      </w:r>
    </w:p>
    <w:p w:rsidR="0011208F" w:rsidRDefault="0011208F" w:rsidP="0011208F">
      <w:pPr>
        <w:shd w:val="clear" w:color="auto" w:fill="FFFFFF"/>
        <w:spacing w:after="0" w:line="300" w:lineRule="atLeast"/>
        <w:rPr>
          <w:rFonts w:ascii="Arial" w:hAnsi="Arial" w:cs="Arial"/>
          <w:b/>
          <w:sz w:val="21"/>
          <w:szCs w:val="21"/>
          <w:lang w:val="el-GR"/>
        </w:rPr>
      </w:pPr>
    </w:p>
    <w:p w:rsidR="00FD6B5F" w:rsidRDefault="0011208F" w:rsidP="0011208F">
      <w:pPr>
        <w:spacing w:after="0" w:line="240" w:lineRule="auto"/>
        <w:rPr>
          <w:rFonts w:ascii="Arial" w:hAnsi="Arial" w:cs="Arial"/>
          <w:b/>
          <w:sz w:val="21"/>
          <w:szCs w:val="21"/>
          <w:lang w:val="el-GR"/>
        </w:rPr>
      </w:pPr>
      <w:r>
        <w:rPr>
          <w:rFonts w:ascii="Arial" w:hAnsi="Arial" w:cs="Arial"/>
          <w:b/>
          <w:sz w:val="21"/>
          <w:szCs w:val="21"/>
          <w:lang w:val="el-GR"/>
        </w:rPr>
        <w:br w:type="page"/>
      </w:r>
    </w:p>
    <w:p w:rsidR="00FD6B5F" w:rsidRPr="0011208F" w:rsidRDefault="00FD6B5F" w:rsidP="0011208F">
      <w:pPr>
        <w:spacing w:after="0" w:line="240" w:lineRule="auto"/>
        <w:rPr>
          <w:rFonts w:ascii="Arial" w:hAnsi="Arial" w:cs="Arial"/>
          <w:b/>
          <w:sz w:val="21"/>
          <w:szCs w:val="21"/>
          <w:lang w:val="el-GR"/>
        </w:rPr>
      </w:pPr>
    </w:p>
    <w:p w:rsidR="00EA5BD7" w:rsidRPr="002877DF" w:rsidRDefault="00EA5BD7" w:rsidP="00A41D62">
      <w:pPr>
        <w:shd w:val="clear" w:color="auto" w:fill="FFFFFF"/>
        <w:spacing w:after="0" w:line="300" w:lineRule="atLeast"/>
        <w:rPr>
          <w:rFonts w:eastAsia="Times New Roman" w:cstheme="minorHAnsi"/>
          <w:color w:val="000000" w:themeColor="text1"/>
          <w:spacing w:val="12"/>
          <w:sz w:val="26"/>
          <w:szCs w:val="26"/>
          <w:lang w:val="el-GR"/>
        </w:rPr>
      </w:pPr>
      <w:r w:rsidRPr="002877DF">
        <w:rPr>
          <w:rFonts w:eastAsia="Times New Roman" w:cstheme="minorHAnsi"/>
          <w:color w:val="000000" w:themeColor="text1"/>
          <w:spacing w:val="12"/>
          <w:sz w:val="26"/>
          <w:szCs w:val="26"/>
          <w:lang w:val="el-GR"/>
        </w:rPr>
        <w:t>Ποσοστό (%) καινοτόμων επιχειρήσεων ανά περιφέρεια (NUTS2),</w:t>
      </w:r>
      <w:r w:rsidR="00231188" w:rsidRPr="002877DF">
        <w:rPr>
          <w:rFonts w:eastAsia="Times New Roman" w:cstheme="minorHAnsi"/>
          <w:color w:val="000000" w:themeColor="text1"/>
          <w:spacing w:val="12"/>
          <w:sz w:val="26"/>
          <w:szCs w:val="26"/>
          <w:lang w:val="el-GR"/>
        </w:rPr>
        <w:br/>
      </w:r>
      <w:r w:rsidR="00077CBD" w:rsidRPr="002877DF">
        <w:rPr>
          <w:rFonts w:eastAsia="Times New Roman" w:cstheme="minorHAnsi"/>
          <w:color w:val="000000" w:themeColor="text1"/>
          <w:spacing w:val="12"/>
          <w:sz w:val="26"/>
          <w:szCs w:val="26"/>
          <w:lang w:val="el-GR"/>
        </w:rPr>
        <w:t>Community Innovatio</w:t>
      </w:r>
      <w:bookmarkStart w:id="0" w:name="_GoBack"/>
      <w:bookmarkEnd w:id="0"/>
      <w:r w:rsidR="00077CBD" w:rsidRPr="002877DF">
        <w:rPr>
          <w:rFonts w:eastAsia="Times New Roman" w:cstheme="minorHAnsi"/>
          <w:color w:val="000000" w:themeColor="text1"/>
          <w:spacing w:val="12"/>
          <w:sz w:val="26"/>
          <w:szCs w:val="26"/>
          <w:lang w:val="el-GR"/>
        </w:rPr>
        <w:t>n Survey (CIS)</w:t>
      </w:r>
      <w:r w:rsidRPr="002877DF">
        <w:rPr>
          <w:rFonts w:eastAsia="Times New Roman" w:cstheme="minorHAnsi"/>
          <w:color w:val="000000" w:themeColor="text1"/>
          <w:spacing w:val="12"/>
          <w:sz w:val="26"/>
          <w:szCs w:val="26"/>
          <w:lang w:val="el-GR"/>
        </w:rPr>
        <w:t xml:space="preserve"> 2018 και 2020</w:t>
      </w:r>
    </w:p>
    <w:p w:rsidR="00EA5BD7" w:rsidRDefault="00EA5BD7" w:rsidP="00FD6B5F">
      <w:pPr>
        <w:spacing w:after="0" w:line="240" w:lineRule="auto"/>
        <w:rPr>
          <w:rFonts w:eastAsia="Times New Roman" w:cstheme="minorHAnsi"/>
          <w:color w:val="000000" w:themeColor="text1"/>
          <w:spacing w:val="12"/>
          <w:sz w:val="26"/>
          <w:szCs w:val="26"/>
          <w:lang w:val="el-GR"/>
        </w:rPr>
      </w:pPr>
      <w:r>
        <w:rPr>
          <w:noProof/>
        </w:rPr>
        <w:drawing>
          <wp:anchor distT="0" distB="0" distL="114300" distR="114300" simplePos="0" relativeHeight="251669504" behindDoc="0" locked="0" layoutInCell="1" allowOverlap="1" wp14:anchorId="2C9A87EE" wp14:editId="3F5D7B4B">
            <wp:simplePos x="0" y="0"/>
            <wp:positionH relativeFrom="margin">
              <wp:align>left</wp:align>
            </wp:positionH>
            <wp:positionV relativeFrom="paragraph">
              <wp:posOffset>234977</wp:posOffset>
            </wp:positionV>
            <wp:extent cx="6008370" cy="537337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077CBD" w:rsidRPr="00231188" w:rsidRDefault="00077CBD" w:rsidP="00077CBD">
      <w:pPr>
        <w:shd w:val="clear" w:color="auto" w:fill="FFFFFF"/>
        <w:spacing w:after="0" w:line="300" w:lineRule="atLeast"/>
        <w:rPr>
          <w:rFonts w:eastAsia="Times New Roman" w:cstheme="minorHAnsi"/>
          <w:color w:val="000000" w:themeColor="text1"/>
          <w:spacing w:val="12"/>
          <w:sz w:val="20"/>
          <w:szCs w:val="18"/>
          <w:lang w:val="el-GR"/>
        </w:rPr>
      </w:pPr>
      <w:r w:rsidRPr="00231188">
        <w:rPr>
          <w:rFonts w:cs="Arial"/>
          <w:iCs/>
          <w:sz w:val="18"/>
          <w:szCs w:val="18"/>
          <w:lang w:val="el-GR"/>
        </w:rPr>
        <w:t xml:space="preserve">ΠΗΓΗ: </w:t>
      </w:r>
      <w:r w:rsidRPr="00231188">
        <w:rPr>
          <w:rFonts w:cs="Arial"/>
          <w:iCs/>
          <w:sz w:val="20"/>
          <w:szCs w:val="18"/>
          <w:lang w:val="el-GR"/>
        </w:rPr>
        <w:t xml:space="preserve">Βασικοί </w:t>
      </w:r>
      <w:r>
        <w:rPr>
          <w:rFonts w:cs="Arial"/>
          <w:iCs/>
          <w:sz w:val="20"/>
          <w:szCs w:val="18"/>
          <w:lang w:val="el-GR"/>
        </w:rPr>
        <w:t>δ</w:t>
      </w:r>
      <w:r w:rsidRPr="00231188">
        <w:rPr>
          <w:rFonts w:cs="Arial"/>
          <w:iCs/>
          <w:sz w:val="20"/>
          <w:szCs w:val="18"/>
          <w:lang w:val="el-GR"/>
        </w:rPr>
        <w:t xml:space="preserve">είκτες για την </w:t>
      </w:r>
      <w:r>
        <w:rPr>
          <w:rFonts w:cs="Arial"/>
          <w:iCs/>
          <w:sz w:val="20"/>
          <w:szCs w:val="18"/>
          <w:lang w:val="el-GR"/>
        </w:rPr>
        <w:t>κ</w:t>
      </w:r>
      <w:r w:rsidRPr="00231188">
        <w:rPr>
          <w:rFonts w:cs="Arial"/>
          <w:iCs/>
          <w:sz w:val="20"/>
          <w:szCs w:val="18"/>
          <w:lang w:val="el-GR"/>
        </w:rPr>
        <w:t xml:space="preserve">αινοτομία στις </w:t>
      </w:r>
      <w:r>
        <w:rPr>
          <w:rFonts w:cs="Arial"/>
          <w:iCs/>
          <w:sz w:val="20"/>
          <w:szCs w:val="18"/>
          <w:lang w:val="el-GR"/>
        </w:rPr>
        <w:t>ε</w:t>
      </w:r>
      <w:r w:rsidRPr="00231188">
        <w:rPr>
          <w:rFonts w:cs="Arial"/>
          <w:iCs/>
          <w:sz w:val="20"/>
          <w:szCs w:val="18"/>
          <w:lang w:val="el-GR"/>
        </w:rPr>
        <w:t xml:space="preserve">λληνικές </w:t>
      </w:r>
      <w:r>
        <w:rPr>
          <w:rFonts w:cs="Arial"/>
          <w:iCs/>
          <w:sz w:val="20"/>
          <w:szCs w:val="18"/>
          <w:lang w:val="el-GR"/>
        </w:rPr>
        <w:t>ε</w:t>
      </w:r>
      <w:r w:rsidRPr="00231188">
        <w:rPr>
          <w:rFonts w:cs="Arial"/>
          <w:iCs/>
          <w:sz w:val="20"/>
          <w:szCs w:val="18"/>
          <w:lang w:val="el-GR"/>
        </w:rPr>
        <w:t xml:space="preserve">πιχειρήσεις 2018-2020, </w:t>
      </w:r>
      <w:r w:rsidRPr="00231188">
        <w:rPr>
          <w:rFonts w:cs="Arial"/>
          <w:iCs/>
          <w:sz w:val="20"/>
          <w:szCs w:val="18"/>
        </w:rPr>
        <w:t>EKT</w:t>
      </w:r>
      <w:r w:rsidRPr="00231188">
        <w:rPr>
          <w:rFonts w:cs="Arial"/>
          <w:iCs/>
          <w:sz w:val="20"/>
          <w:szCs w:val="18"/>
          <w:lang w:val="el-GR"/>
        </w:rPr>
        <w:t xml:space="preserve"> </w:t>
      </w:r>
    </w:p>
    <w:p w:rsidR="00EA5BD7" w:rsidRPr="00231188" w:rsidRDefault="00EA5BD7" w:rsidP="00231188">
      <w:pPr>
        <w:spacing w:after="0" w:line="240" w:lineRule="auto"/>
        <w:rPr>
          <w:rFonts w:eastAsia="Times New Roman" w:cstheme="minorHAnsi"/>
          <w:color w:val="000000" w:themeColor="text1"/>
          <w:spacing w:val="12"/>
          <w:sz w:val="20"/>
          <w:szCs w:val="18"/>
          <w:lang w:val="el-GR"/>
        </w:rPr>
      </w:pPr>
    </w:p>
    <w:sectPr w:rsidR="00EA5BD7" w:rsidRPr="00231188" w:rsidSect="002E1873">
      <w:headerReference w:type="default" r:id="rId23"/>
      <w:footerReference w:type="default" r:id="rId24"/>
      <w:headerReference w:type="first" r:id="rId25"/>
      <w:footerReference w:type="first" r:id="rId26"/>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0F" w:rsidRDefault="007E120F" w:rsidP="002E1873">
      <w:pPr>
        <w:spacing w:after="0" w:line="240" w:lineRule="auto"/>
      </w:pPr>
      <w:r>
        <w:separator/>
      </w:r>
    </w:p>
  </w:endnote>
  <w:endnote w:type="continuationSeparator" w:id="0">
    <w:p w:rsidR="007E120F" w:rsidRDefault="007E120F"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r w:rsidR="0065360B">
      <w:rPr>
        <w:rFonts w:asciiTheme="majorHAnsi" w:hAnsiTheme="majorHAnsi" w:cs="Tahoma"/>
        <w:color w:val="3B3838" w:themeColor="background2" w:themeShade="40"/>
        <w:sz w:val="18"/>
        <w:szCs w:val="16"/>
        <w:lang w:val="el-GR"/>
      </w:rPr>
      <w:t>Ζεφύρου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p w:rsidR="005311F2" w:rsidRPr="005311F2" w:rsidRDefault="005311F2" w:rsidP="005311F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p>
  <w:p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r w:rsidR="0065360B">
      <w:rPr>
        <w:rFonts w:asciiTheme="majorHAnsi" w:hAnsiTheme="majorHAnsi" w:cs="Tahoma"/>
        <w:color w:val="3B3838" w:themeColor="background2" w:themeShade="40"/>
        <w:sz w:val="18"/>
        <w:szCs w:val="16"/>
        <w:lang w:val="el-GR"/>
      </w:rPr>
      <w:t>Ζεφύρου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0F" w:rsidRDefault="007E120F" w:rsidP="002E1873">
      <w:pPr>
        <w:spacing w:after="0" w:line="240" w:lineRule="auto"/>
      </w:pPr>
      <w:r>
        <w:separator/>
      </w:r>
    </w:p>
  </w:footnote>
  <w:footnote w:type="continuationSeparator" w:id="0">
    <w:p w:rsidR="007E120F" w:rsidRDefault="007E120F"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FF45C3" w:rsidRDefault="00077CBD" w:rsidP="00FF45C3">
    <w:pPr>
      <w:spacing w:after="0" w:line="240" w:lineRule="auto"/>
      <w:rPr>
        <w:rFonts w:cstheme="majorHAnsi"/>
        <w:color w:val="262626" w:themeColor="text1" w:themeTint="D9"/>
        <w:sz w:val="20"/>
        <w:szCs w:val="20"/>
        <w:lang w:val="el-GR"/>
      </w:rPr>
    </w:pPr>
    <w:r w:rsidRPr="00077CBD">
      <w:rPr>
        <w:rFonts w:cs="Arial"/>
        <w:iCs/>
        <w:sz w:val="20"/>
        <w:lang w:val="el-GR"/>
      </w:rPr>
      <w:t>Στο 72,6% το ποσοστό των επιχειρήσεων που καινοτομούν στην Ελλάδα</w:t>
    </w:r>
    <w:r w:rsidR="0011208F" w:rsidRPr="0011208F">
      <w:rPr>
        <w:rFonts w:cs="Arial"/>
        <w:iCs/>
        <w:sz w:val="20"/>
        <w:lang w:val="el-GR"/>
      </w:rPr>
      <w:t xml:space="preserve"> </w:t>
    </w:r>
    <w:r w:rsidR="00787C92" w:rsidRPr="00D52861">
      <w:rPr>
        <w:sz w:val="20"/>
        <w:szCs w:val="20"/>
        <w:lang w:val="el-GR"/>
      </w:rPr>
      <w:t xml:space="preserve">| </w:t>
    </w:r>
    <w:r w:rsidR="00787C92" w:rsidRPr="00D52861">
      <w:rPr>
        <w:sz w:val="20"/>
        <w:szCs w:val="20"/>
        <w:lang w:val="el-GR" w:eastAsia="el-GR"/>
      </w:rPr>
      <w:t>ΕΚΤ</w:t>
    </w:r>
    <w:r w:rsidR="00787C92">
      <w:rPr>
        <w:b/>
        <w:sz w:val="20"/>
        <w:szCs w:val="20"/>
        <w:lang w:val="el-GR" w:eastAsia="el-GR"/>
      </w:rPr>
      <w:t xml:space="preserve"> </w:t>
    </w:r>
    <w:r w:rsidR="00787C92">
      <w:rPr>
        <w:sz w:val="20"/>
        <w:szCs w:val="20"/>
        <w:lang w:val="el-GR"/>
      </w:rPr>
      <w:t>|</w:t>
    </w:r>
    <w:r w:rsidR="00787C92" w:rsidRPr="00787C92">
      <w:rPr>
        <w:sz w:val="20"/>
        <w:szCs w:val="20"/>
        <w:lang w:val="el-GR"/>
      </w:rPr>
      <w:t xml:space="preserve"> </w:t>
    </w:r>
    <w:r w:rsidR="00787C92">
      <w:rPr>
        <w:sz w:val="20"/>
        <w:szCs w:val="20"/>
        <w:lang w:val="el-GR"/>
      </w:rPr>
      <w:t>ΔΕΛΤΙΟ ΤΥΠΟΥ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2B209A" w:rsidRDefault="002738C0">
    <w:pPr>
      <w:pStyle w:val="1"/>
      <w:ind w:left="7200"/>
      <w:rPr>
        <w:color w:val="FF0000"/>
        <w:lang w:val="el-GR"/>
      </w:rPr>
    </w:pPr>
    <w:r w:rsidRPr="00D41F9B">
      <w:rPr>
        <w:noProof/>
        <w:color w:val="3B3838" w:themeColor="background2" w:themeShade="40"/>
      </w:rPr>
      <w:drawing>
        <wp:anchor distT="0" distB="0" distL="114300" distR="114300" simplePos="0" relativeHeight="251660288" behindDoc="1" locked="0" layoutInCell="1" allowOverlap="1" wp14:anchorId="2037E2E4" wp14:editId="1B07F7EF">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DC5FBD">
      <w:rPr>
        <w:lang w:val="el-GR"/>
      </w:rPr>
      <w:t xml:space="preserve">Αθήνα, </w:t>
    </w:r>
    <w:r w:rsidR="00AE3218" w:rsidRPr="00DC5FBD">
      <w:t>0</w:t>
    </w:r>
    <w:r w:rsidR="00DC28CC" w:rsidRPr="00DC5FBD">
      <w:rPr>
        <w:lang w:val="el-GR"/>
      </w:rPr>
      <w:t>6</w:t>
    </w:r>
    <w:r w:rsidRPr="00DC5FBD">
      <w:t>.</w:t>
    </w:r>
    <w:r w:rsidR="003C4742" w:rsidRPr="00DC5FBD">
      <w:rPr>
        <w:lang w:val="el-GR"/>
      </w:rPr>
      <w:t>0</w:t>
    </w:r>
    <w:r w:rsidR="00AE3218" w:rsidRPr="00DC5FBD">
      <w:t>9</w:t>
    </w:r>
    <w:r w:rsidRPr="00DC5FBD">
      <w:rPr>
        <w:lang w:val="el-GR"/>
      </w:rPr>
      <w:t>.20</w:t>
    </w:r>
    <w:r w:rsidRPr="00DC5FBD">
      <w:t>2</w:t>
    </w:r>
    <w:r w:rsidR="003C4742" w:rsidRPr="00DC5FBD">
      <w:rPr>
        <w:lang w:val="el-GR"/>
      </w:rPr>
      <w:t>2</w:t>
    </w:r>
  </w:p>
  <w:p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1516"/>
    <w:rsid w:val="0000296B"/>
    <w:rsid w:val="00013988"/>
    <w:rsid w:val="00034B5C"/>
    <w:rsid w:val="00043427"/>
    <w:rsid w:val="00044A7D"/>
    <w:rsid w:val="00051B13"/>
    <w:rsid w:val="0005442B"/>
    <w:rsid w:val="00061794"/>
    <w:rsid w:val="00063D68"/>
    <w:rsid w:val="00064AAE"/>
    <w:rsid w:val="00065E00"/>
    <w:rsid w:val="000665F7"/>
    <w:rsid w:val="00067AF1"/>
    <w:rsid w:val="00074D98"/>
    <w:rsid w:val="00075F01"/>
    <w:rsid w:val="00077CBD"/>
    <w:rsid w:val="000878D1"/>
    <w:rsid w:val="00090578"/>
    <w:rsid w:val="00097532"/>
    <w:rsid w:val="00097B1F"/>
    <w:rsid w:val="000A473B"/>
    <w:rsid w:val="000B5EF3"/>
    <w:rsid w:val="000B6322"/>
    <w:rsid w:val="000C176C"/>
    <w:rsid w:val="000C46F9"/>
    <w:rsid w:val="000D1EF7"/>
    <w:rsid w:val="000D3390"/>
    <w:rsid w:val="000D6C9C"/>
    <w:rsid w:val="000E2EB0"/>
    <w:rsid w:val="000E670B"/>
    <w:rsid w:val="000F1B7A"/>
    <w:rsid w:val="000F5535"/>
    <w:rsid w:val="001016B6"/>
    <w:rsid w:val="00103745"/>
    <w:rsid w:val="001055E6"/>
    <w:rsid w:val="00111A97"/>
    <w:rsid w:val="0011208F"/>
    <w:rsid w:val="001132DE"/>
    <w:rsid w:val="00121D68"/>
    <w:rsid w:val="00130A42"/>
    <w:rsid w:val="0013453F"/>
    <w:rsid w:val="0013773A"/>
    <w:rsid w:val="001609C6"/>
    <w:rsid w:val="001626C1"/>
    <w:rsid w:val="001643B5"/>
    <w:rsid w:val="00164AD6"/>
    <w:rsid w:val="0016730D"/>
    <w:rsid w:val="00172C04"/>
    <w:rsid w:val="0017687E"/>
    <w:rsid w:val="00184EB5"/>
    <w:rsid w:val="001879A9"/>
    <w:rsid w:val="00192BAB"/>
    <w:rsid w:val="00193A53"/>
    <w:rsid w:val="001944B8"/>
    <w:rsid w:val="001973D7"/>
    <w:rsid w:val="001B4E96"/>
    <w:rsid w:val="001B6400"/>
    <w:rsid w:val="001C2B9D"/>
    <w:rsid w:val="001D60BF"/>
    <w:rsid w:val="001E15D2"/>
    <w:rsid w:val="001F4972"/>
    <w:rsid w:val="00204235"/>
    <w:rsid w:val="002043D7"/>
    <w:rsid w:val="00212827"/>
    <w:rsid w:val="00213507"/>
    <w:rsid w:val="0021492D"/>
    <w:rsid w:val="002208F1"/>
    <w:rsid w:val="00223580"/>
    <w:rsid w:val="00225168"/>
    <w:rsid w:val="00226351"/>
    <w:rsid w:val="00227ADB"/>
    <w:rsid w:val="00231188"/>
    <w:rsid w:val="00231BA2"/>
    <w:rsid w:val="002332F3"/>
    <w:rsid w:val="00235FA2"/>
    <w:rsid w:val="00241D75"/>
    <w:rsid w:val="002423F5"/>
    <w:rsid w:val="00242574"/>
    <w:rsid w:val="00243231"/>
    <w:rsid w:val="0024712B"/>
    <w:rsid w:val="00251B73"/>
    <w:rsid w:val="002544D7"/>
    <w:rsid w:val="002556AA"/>
    <w:rsid w:val="002576D4"/>
    <w:rsid w:val="00260F45"/>
    <w:rsid w:val="00261B93"/>
    <w:rsid w:val="00263A9B"/>
    <w:rsid w:val="00264DFB"/>
    <w:rsid w:val="002738C0"/>
    <w:rsid w:val="00281CCA"/>
    <w:rsid w:val="002877A3"/>
    <w:rsid w:val="002877DF"/>
    <w:rsid w:val="00293E42"/>
    <w:rsid w:val="002953E0"/>
    <w:rsid w:val="002B209A"/>
    <w:rsid w:val="002B3685"/>
    <w:rsid w:val="002B5472"/>
    <w:rsid w:val="002B5701"/>
    <w:rsid w:val="002B5D08"/>
    <w:rsid w:val="002C0EAE"/>
    <w:rsid w:val="002C2D7F"/>
    <w:rsid w:val="002C33D6"/>
    <w:rsid w:val="002E1873"/>
    <w:rsid w:val="002E3A80"/>
    <w:rsid w:val="002E5E11"/>
    <w:rsid w:val="002F18B8"/>
    <w:rsid w:val="002F3895"/>
    <w:rsid w:val="003059DD"/>
    <w:rsid w:val="00307AB6"/>
    <w:rsid w:val="00315158"/>
    <w:rsid w:val="00315380"/>
    <w:rsid w:val="0032152E"/>
    <w:rsid w:val="003251FE"/>
    <w:rsid w:val="003328AF"/>
    <w:rsid w:val="00332C29"/>
    <w:rsid w:val="00332E2C"/>
    <w:rsid w:val="00334E51"/>
    <w:rsid w:val="003416F0"/>
    <w:rsid w:val="00345DDC"/>
    <w:rsid w:val="00350980"/>
    <w:rsid w:val="0039097A"/>
    <w:rsid w:val="003A09FF"/>
    <w:rsid w:val="003A43CD"/>
    <w:rsid w:val="003C4742"/>
    <w:rsid w:val="003D461D"/>
    <w:rsid w:val="003E32B8"/>
    <w:rsid w:val="003E64BB"/>
    <w:rsid w:val="003F70CA"/>
    <w:rsid w:val="00401A75"/>
    <w:rsid w:val="00405615"/>
    <w:rsid w:val="00407A13"/>
    <w:rsid w:val="00421DA3"/>
    <w:rsid w:val="00427B63"/>
    <w:rsid w:val="00442A6B"/>
    <w:rsid w:val="0044436E"/>
    <w:rsid w:val="00446D9B"/>
    <w:rsid w:val="00447DCF"/>
    <w:rsid w:val="00462DDC"/>
    <w:rsid w:val="004630A5"/>
    <w:rsid w:val="004640D9"/>
    <w:rsid w:val="00477D8D"/>
    <w:rsid w:val="00486BF1"/>
    <w:rsid w:val="00494C8F"/>
    <w:rsid w:val="004955F1"/>
    <w:rsid w:val="004A154F"/>
    <w:rsid w:val="004A1D94"/>
    <w:rsid w:val="004A2D3B"/>
    <w:rsid w:val="004B2B64"/>
    <w:rsid w:val="004B48D6"/>
    <w:rsid w:val="004B7A0F"/>
    <w:rsid w:val="004C11AD"/>
    <w:rsid w:val="004C1E53"/>
    <w:rsid w:val="004C25BB"/>
    <w:rsid w:val="004D12A2"/>
    <w:rsid w:val="004D4098"/>
    <w:rsid w:val="004D7E4A"/>
    <w:rsid w:val="004E3EBF"/>
    <w:rsid w:val="004E4B57"/>
    <w:rsid w:val="004E5854"/>
    <w:rsid w:val="004F32C4"/>
    <w:rsid w:val="005052BB"/>
    <w:rsid w:val="00512AB6"/>
    <w:rsid w:val="00517337"/>
    <w:rsid w:val="00521957"/>
    <w:rsid w:val="005311F2"/>
    <w:rsid w:val="00533CFB"/>
    <w:rsid w:val="0053751B"/>
    <w:rsid w:val="0055587A"/>
    <w:rsid w:val="00561F1D"/>
    <w:rsid w:val="005664E1"/>
    <w:rsid w:val="00577E88"/>
    <w:rsid w:val="00580476"/>
    <w:rsid w:val="005901E1"/>
    <w:rsid w:val="0059171C"/>
    <w:rsid w:val="005A0403"/>
    <w:rsid w:val="005A7977"/>
    <w:rsid w:val="005B5961"/>
    <w:rsid w:val="005B61E5"/>
    <w:rsid w:val="005E6736"/>
    <w:rsid w:val="005F0D19"/>
    <w:rsid w:val="00610214"/>
    <w:rsid w:val="00610B2F"/>
    <w:rsid w:val="00616508"/>
    <w:rsid w:val="0063034C"/>
    <w:rsid w:val="00644828"/>
    <w:rsid w:val="00650AC4"/>
    <w:rsid w:val="0065132C"/>
    <w:rsid w:val="00651BC9"/>
    <w:rsid w:val="00652B33"/>
    <w:rsid w:val="0065360B"/>
    <w:rsid w:val="00660838"/>
    <w:rsid w:val="00665986"/>
    <w:rsid w:val="006854F7"/>
    <w:rsid w:val="00687BAB"/>
    <w:rsid w:val="00693749"/>
    <w:rsid w:val="006A75E6"/>
    <w:rsid w:val="006B6A9A"/>
    <w:rsid w:val="006D0D75"/>
    <w:rsid w:val="006D4981"/>
    <w:rsid w:val="006E2C99"/>
    <w:rsid w:val="006E4C35"/>
    <w:rsid w:val="006F356C"/>
    <w:rsid w:val="006F3E01"/>
    <w:rsid w:val="006F4B9E"/>
    <w:rsid w:val="00702956"/>
    <w:rsid w:val="00704039"/>
    <w:rsid w:val="00705AA4"/>
    <w:rsid w:val="00705D85"/>
    <w:rsid w:val="007145F4"/>
    <w:rsid w:val="00716893"/>
    <w:rsid w:val="00720C3A"/>
    <w:rsid w:val="00723BA0"/>
    <w:rsid w:val="00734674"/>
    <w:rsid w:val="007373E1"/>
    <w:rsid w:val="00743441"/>
    <w:rsid w:val="007506CF"/>
    <w:rsid w:val="007665FB"/>
    <w:rsid w:val="0076702B"/>
    <w:rsid w:val="0077060F"/>
    <w:rsid w:val="007716D8"/>
    <w:rsid w:val="00772268"/>
    <w:rsid w:val="00787C92"/>
    <w:rsid w:val="00790BEA"/>
    <w:rsid w:val="00794B33"/>
    <w:rsid w:val="00797661"/>
    <w:rsid w:val="00797F30"/>
    <w:rsid w:val="007B5087"/>
    <w:rsid w:val="007C52AC"/>
    <w:rsid w:val="007C536F"/>
    <w:rsid w:val="007C6B0B"/>
    <w:rsid w:val="007D2870"/>
    <w:rsid w:val="007D77A4"/>
    <w:rsid w:val="007E120F"/>
    <w:rsid w:val="007E1ADE"/>
    <w:rsid w:val="007E4D87"/>
    <w:rsid w:val="007E67CF"/>
    <w:rsid w:val="007E7671"/>
    <w:rsid w:val="007E7698"/>
    <w:rsid w:val="007E77EA"/>
    <w:rsid w:val="007E7935"/>
    <w:rsid w:val="00801E68"/>
    <w:rsid w:val="00802EA1"/>
    <w:rsid w:val="00807351"/>
    <w:rsid w:val="0081280F"/>
    <w:rsid w:val="00815DC2"/>
    <w:rsid w:val="00817DBB"/>
    <w:rsid w:val="00821115"/>
    <w:rsid w:val="00825B50"/>
    <w:rsid w:val="00834D8D"/>
    <w:rsid w:val="008439D2"/>
    <w:rsid w:val="0085138D"/>
    <w:rsid w:val="0085405D"/>
    <w:rsid w:val="00881E9A"/>
    <w:rsid w:val="00883A95"/>
    <w:rsid w:val="00885C95"/>
    <w:rsid w:val="0089182B"/>
    <w:rsid w:val="008918B2"/>
    <w:rsid w:val="00897E62"/>
    <w:rsid w:val="008A0F6A"/>
    <w:rsid w:val="008A2E43"/>
    <w:rsid w:val="008A4063"/>
    <w:rsid w:val="008B4793"/>
    <w:rsid w:val="008B50D9"/>
    <w:rsid w:val="008B6150"/>
    <w:rsid w:val="008C7679"/>
    <w:rsid w:val="008D2755"/>
    <w:rsid w:val="008E5393"/>
    <w:rsid w:val="008F102D"/>
    <w:rsid w:val="008F44A2"/>
    <w:rsid w:val="00902E85"/>
    <w:rsid w:val="0090668A"/>
    <w:rsid w:val="00914547"/>
    <w:rsid w:val="0093322D"/>
    <w:rsid w:val="00934878"/>
    <w:rsid w:val="00935541"/>
    <w:rsid w:val="009374E8"/>
    <w:rsid w:val="0096148D"/>
    <w:rsid w:val="0096686D"/>
    <w:rsid w:val="009732E6"/>
    <w:rsid w:val="00975A56"/>
    <w:rsid w:val="00990EC2"/>
    <w:rsid w:val="00997624"/>
    <w:rsid w:val="009B0DF0"/>
    <w:rsid w:val="009B25E7"/>
    <w:rsid w:val="009B5AA5"/>
    <w:rsid w:val="009C4982"/>
    <w:rsid w:val="009D0EF3"/>
    <w:rsid w:val="009D1FDE"/>
    <w:rsid w:val="009E701A"/>
    <w:rsid w:val="009F2CF1"/>
    <w:rsid w:val="00A0146D"/>
    <w:rsid w:val="00A02041"/>
    <w:rsid w:val="00A04DBF"/>
    <w:rsid w:val="00A10E02"/>
    <w:rsid w:val="00A11144"/>
    <w:rsid w:val="00A13F90"/>
    <w:rsid w:val="00A36E04"/>
    <w:rsid w:val="00A41D62"/>
    <w:rsid w:val="00A43B93"/>
    <w:rsid w:val="00A4758D"/>
    <w:rsid w:val="00A61AB1"/>
    <w:rsid w:val="00A70390"/>
    <w:rsid w:val="00A73617"/>
    <w:rsid w:val="00A7669B"/>
    <w:rsid w:val="00A944BF"/>
    <w:rsid w:val="00A96096"/>
    <w:rsid w:val="00AA1079"/>
    <w:rsid w:val="00AA36EC"/>
    <w:rsid w:val="00AC358B"/>
    <w:rsid w:val="00AD0383"/>
    <w:rsid w:val="00AD069D"/>
    <w:rsid w:val="00AD075F"/>
    <w:rsid w:val="00AD2ABA"/>
    <w:rsid w:val="00AD526B"/>
    <w:rsid w:val="00AE3218"/>
    <w:rsid w:val="00AE557E"/>
    <w:rsid w:val="00AE65B0"/>
    <w:rsid w:val="00AF1A08"/>
    <w:rsid w:val="00AF5A34"/>
    <w:rsid w:val="00AF6A36"/>
    <w:rsid w:val="00B04B35"/>
    <w:rsid w:val="00B20273"/>
    <w:rsid w:val="00B27D91"/>
    <w:rsid w:val="00B31E7A"/>
    <w:rsid w:val="00B330F7"/>
    <w:rsid w:val="00B33912"/>
    <w:rsid w:val="00B403E0"/>
    <w:rsid w:val="00B4066B"/>
    <w:rsid w:val="00B42DCE"/>
    <w:rsid w:val="00B552AA"/>
    <w:rsid w:val="00B57A74"/>
    <w:rsid w:val="00B709D9"/>
    <w:rsid w:val="00B75D53"/>
    <w:rsid w:val="00B770DC"/>
    <w:rsid w:val="00B81BAA"/>
    <w:rsid w:val="00B84192"/>
    <w:rsid w:val="00B87355"/>
    <w:rsid w:val="00BA050A"/>
    <w:rsid w:val="00BA3EF4"/>
    <w:rsid w:val="00BA4A7E"/>
    <w:rsid w:val="00BB291D"/>
    <w:rsid w:val="00BB63FE"/>
    <w:rsid w:val="00BB77B6"/>
    <w:rsid w:val="00BC390C"/>
    <w:rsid w:val="00BE185A"/>
    <w:rsid w:val="00BE4D4C"/>
    <w:rsid w:val="00BE4E81"/>
    <w:rsid w:val="00BE5839"/>
    <w:rsid w:val="00BF2CC5"/>
    <w:rsid w:val="00BF7DA6"/>
    <w:rsid w:val="00C11192"/>
    <w:rsid w:val="00C12667"/>
    <w:rsid w:val="00C15436"/>
    <w:rsid w:val="00C15F71"/>
    <w:rsid w:val="00C20342"/>
    <w:rsid w:val="00C24544"/>
    <w:rsid w:val="00C33994"/>
    <w:rsid w:val="00C467DD"/>
    <w:rsid w:val="00C515D1"/>
    <w:rsid w:val="00C54609"/>
    <w:rsid w:val="00C54A3D"/>
    <w:rsid w:val="00C55DA3"/>
    <w:rsid w:val="00C61884"/>
    <w:rsid w:val="00C62396"/>
    <w:rsid w:val="00C63BA5"/>
    <w:rsid w:val="00C70819"/>
    <w:rsid w:val="00C765D1"/>
    <w:rsid w:val="00C853FB"/>
    <w:rsid w:val="00C85F3D"/>
    <w:rsid w:val="00C931B9"/>
    <w:rsid w:val="00CB11E9"/>
    <w:rsid w:val="00CB1378"/>
    <w:rsid w:val="00CB4791"/>
    <w:rsid w:val="00CB6C78"/>
    <w:rsid w:val="00CD1DF6"/>
    <w:rsid w:val="00CD3BBC"/>
    <w:rsid w:val="00CD4E44"/>
    <w:rsid w:val="00CE0EE4"/>
    <w:rsid w:val="00CE245F"/>
    <w:rsid w:val="00CE79E4"/>
    <w:rsid w:val="00CF1DC3"/>
    <w:rsid w:val="00D0182F"/>
    <w:rsid w:val="00D048D9"/>
    <w:rsid w:val="00D12D46"/>
    <w:rsid w:val="00D132A0"/>
    <w:rsid w:val="00D17D47"/>
    <w:rsid w:val="00D213B9"/>
    <w:rsid w:val="00D27FB8"/>
    <w:rsid w:val="00D340AC"/>
    <w:rsid w:val="00D3532F"/>
    <w:rsid w:val="00D41F9B"/>
    <w:rsid w:val="00D42203"/>
    <w:rsid w:val="00D424A0"/>
    <w:rsid w:val="00D52861"/>
    <w:rsid w:val="00D54466"/>
    <w:rsid w:val="00D55E29"/>
    <w:rsid w:val="00D63991"/>
    <w:rsid w:val="00D6654D"/>
    <w:rsid w:val="00D67756"/>
    <w:rsid w:val="00D67768"/>
    <w:rsid w:val="00D7223F"/>
    <w:rsid w:val="00D768F5"/>
    <w:rsid w:val="00D90C03"/>
    <w:rsid w:val="00D919D0"/>
    <w:rsid w:val="00DB3684"/>
    <w:rsid w:val="00DB5049"/>
    <w:rsid w:val="00DB703C"/>
    <w:rsid w:val="00DC28CC"/>
    <w:rsid w:val="00DC5204"/>
    <w:rsid w:val="00DC5FBD"/>
    <w:rsid w:val="00DD2C24"/>
    <w:rsid w:val="00E02EC4"/>
    <w:rsid w:val="00E03788"/>
    <w:rsid w:val="00E07888"/>
    <w:rsid w:val="00E10F0C"/>
    <w:rsid w:val="00E12E09"/>
    <w:rsid w:val="00E1503E"/>
    <w:rsid w:val="00E27EBF"/>
    <w:rsid w:val="00E3275F"/>
    <w:rsid w:val="00E44211"/>
    <w:rsid w:val="00E4638A"/>
    <w:rsid w:val="00E507E4"/>
    <w:rsid w:val="00E525AE"/>
    <w:rsid w:val="00E549D3"/>
    <w:rsid w:val="00E56F92"/>
    <w:rsid w:val="00E5744A"/>
    <w:rsid w:val="00E600C3"/>
    <w:rsid w:val="00E62404"/>
    <w:rsid w:val="00EA5A00"/>
    <w:rsid w:val="00EA5BD7"/>
    <w:rsid w:val="00EB6DB2"/>
    <w:rsid w:val="00EC283E"/>
    <w:rsid w:val="00EC6F99"/>
    <w:rsid w:val="00ED1172"/>
    <w:rsid w:val="00ED27D2"/>
    <w:rsid w:val="00ED30F3"/>
    <w:rsid w:val="00ED4083"/>
    <w:rsid w:val="00EF445A"/>
    <w:rsid w:val="00EF66BF"/>
    <w:rsid w:val="00F00748"/>
    <w:rsid w:val="00F12205"/>
    <w:rsid w:val="00F25EAF"/>
    <w:rsid w:val="00F27286"/>
    <w:rsid w:val="00F33E90"/>
    <w:rsid w:val="00F472FE"/>
    <w:rsid w:val="00F479DB"/>
    <w:rsid w:val="00F47CBE"/>
    <w:rsid w:val="00F50383"/>
    <w:rsid w:val="00F51263"/>
    <w:rsid w:val="00F52015"/>
    <w:rsid w:val="00F70852"/>
    <w:rsid w:val="00F70DD3"/>
    <w:rsid w:val="00F7131D"/>
    <w:rsid w:val="00F84266"/>
    <w:rsid w:val="00F85173"/>
    <w:rsid w:val="00F860DD"/>
    <w:rsid w:val="00FA1A08"/>
    <w:rsid w:val="00FA4EA6"/>
    <w:rsid w:val="00FB3380"/>
    <w:rsid w:val="00FB70FF"/>
    <w:rsid w:val="00FD009B"/>
    <w:rsid w:val="00FD6B5F"/>
    <w:rsid w:val="00FE1415"/>
    <w:rsid w:val="00FF33A0"/>
    <w:rsid w:val="00FF45C3"/>
    <w:rsid w:val="00FF52BE"/>
    <w:rsid w:val="00FF5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39192"/>
  <w15:docId w15:val="{1CED2972-5CA9-45D1-92A8-02546780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28833">
      <w:bodyDiv w:val="1"/>
      <w:marLeft w:val="0"/>
      <w:marRight w:val="0"/>
      <w:marTop w:val="0"/>
      <w:marBottom w:val="0"/>
      <w:divBdr>
        <w:top w:val="none" w:sz="0" w:space="0" w:color="auto"/>
        <w:left w:val="none" w:sz="0" w:space="0" w:color="auto"/>
        <w:bottom w:val="none" w:sz="0" w:space="0" w:color="auto"/>
        <w:right w:val="none" w:sz="0" w:space="0" w:color="auto"/>
      </w:divBdr>
    </w:div>
    <w:div w:id="190441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trics.ekt.gr/publications/588" TargetMode="External"/><Relationship Id="rId13" Type="http://schemas.openxmlformats.org/officeDocument/2006/relationships/hyperlink" Target="https://metrics.ekt.gr/publications/567" TargetMode="External"/><Relationship Id="rId18" Type="http://schemas.openxmlformats.org/officeDocument/2006/relationships/hyperlink" Target="http://www.ekt.g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metrics.ekt.gr/publications/588"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proed@ekt.gr"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ics.ekt.gr/publications/56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trics.ekt.gr/innov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etrics.ekt.gr/publications/552"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metrics.ekt.gr" TargetMode="External"/><Relationship Id="rId14" Type="http://schemas.openxmlformats.org/officeDocument/2006/relationships/hyperlink" Target="https://metrics.ekt.gr/publications/552" TargetMode="External"/><Relationship Id="rId22" Type="http://schemas.openxmlformats.org/officeDocument/2006/relationships/chart" Target="charts/chart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767144491553926E-2"/>
          <c:y val="2.3778403846308201E-2"/>
          <c:w val="0.87824651532485487"/>
          <c:h val="0.82463772212105668"/>
        </c:manualLayout>
      </c:layout>
      <c:barChart>
        <c:barDir val="col"/>
        <c:grouping val="clustered"/>
        <c:varyColors val="0"/>
        <c:ser>
          <c:idx val="0"/>
          <c:order val="0"/>
          <c:spPr>
            <a:solidFill>
              <a:srgbClr val="769BAA"/>
            </a:solidFill>
            <a:ln>
              <a:noFill/>
            </a:ln>
            <a:effectLst/>
          </c:spPr>
          <c:invertIfNegative val="0"/>
          <c:dPt>
            <c:idx val="3"/>
            <c:invertIfNegative val="0"/>
            <c:bubble3D val="0"/>
            <c:spPr>
              <a:solidFill>
                <a:srgbClr val="769BAA"/>
              </a:solidFill>
              <a:ln>
                <a:noFill/>
              </a:ln>
              <a:effectLst/>
            </c:spPr>
            <c:extLst>
              <c:ext xmlns:c16="http://schemas.microsoft.com/office/drawing/2014/chart" uri="{C3380CC4-5D6E-409C-BE32-E72D297353CC}">
                <c16:uniqueId val="{00000001-4730-45C4-90C0-EAA4D08A0E27}"/>
              </c:ext>
            </c:extLst>
          </c:dPt>
          <c:dPt>
            <c:idx val="4"/>
            <c:invertIfNegative val="0"/>
            <c:bubble3D val="0"/>
            <c:spPr>
              <a:solidFill>
                <a:srgbClr val="A0207B"/>
              </a:solidFill>
              <a:ln>
                <a:noFill/>
              </a:ln>
              <a:effectLst/>
            </c:spPr>
            <c:extLst>
              <c:ext xmlns:c16="http://schemas.microsoft.com/office/drawing/2014/chart" uri="{C3380CC4-5D6E-409C-BE32-E72D297353CC}">
                <c16:uniqueId val="{00000003-4730-45C4-90C0-EAA4D08A0E27}"/>
              </c:ext>
            </c:extLst>
          </c:dPt>
          <c:dLbls>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A0207B"/>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4730-45C4-90C0-EAA4D08A0E2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 Main CIS_fig.1'!$A$2:$A$6</c:f>
              <c:strCache>
                <c:ptCount val="5"/>
                <c:pt idx="0">
                  <c:v>CIS 2010-2012</c:v>
                </c:pt>
                <c:pt idx="1">
                  <c:v>CIS 2012-2014</c:v>
                </c:pt>
                <c:pt idx="2">
                  <c:v>CIS 2014-2016</c:v>
                </c:pt>
                <c:pt idx="3">
                  <c:v>CIS 2016-2018</c:v>
                </c:pt>
                <c:pt idx="4">
                  <c:v>CIS 2018-2020</c:v>
                </c:pt>
              </c:strCache>
            </c:strRef>
          </c:cat>
          <c:val>
            <c:numRef>
              <c:f>' Main CIS_fig.1'!$D$2:$D$6</c:f>
              <c:numCache>
                <c:formatCode>0.0%</c:formatCode>
                <c:ptCount val="5"/>
                <c:pt idx="0">
                  <c:v>0.52305331287115497</c:v>
                </c:pt>
                <c:pt idx="1">
                  <c:v>0.50978834067759882</c:v>
                </c:pt>
                <c:pt idx="2">
                  <c:v>0.57734983952315455</c:v>
                </c:pt>
                <c:pt idx="3">
                  <c:v>0.60329157455170723</c:v>
                </c:pt>
                <c:pt idx="4">
                  <c:v>0.72593151718932269</c:v>
                </c:pt>
              </c:numCache>
            </c:numRef>
          </c:val>
          <c:extLst>
            <c:ext xmlns:c16="http://schemas.microsoft.com/office/drawing/2014/chart" uri="{C3380CC4-5D6E-409C-BE32-E72D297353CC}">
              <c16:uniqueId val="{00000004-4730-45C4-90C0-EAA4D08A0E27}"/>
            </c:ext>
          </c:extLst>
        </c:ser>
        <c:dLbls>
          <c:showLegendKey val="0"/>
          <c:showVal val="0"/>
          <c:showCatName val="0"/>
          <c:showSerName val="0"/>
          <c:showPercent val="0"/>
          <c:showBubbleSize val="0"/>
        </c:dLbls>
        <c:gapWidth val="120"/>
        <c:axId val="188198272"/>
        <c:axId val="73942144"/>
      </c:barChart>
      <c:catAx>
        <c:axId val="18819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942144"/>
        <c:crosses val="autoZero"/>
        <c:auto val="1"/>
        <c:lblAlgn val="ctr"/>
        <c:lblOffset val="100"/>
        <c:noMultiLvlLbl val="0"/>
      </c:catAx>
      <c:valAx>
        <c:axId val="73942144"/>
        <c:scaling>
          <c:orientation val="minMax"/>
          <c:max val="0.8"/>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8198272"/>
        <c:crossesAt val="1"/>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65922506813085"/>
          <c:y val="5.6191117583702682E-2"/>
          <c:w val="0.40300761255417783"/>
          <c:h val="0.92510120177872002"/>
        </c:manualLayout>
      </c:layout>
      <c:barChart>
        <c:barDir val="bar"/>
        <c:grouping val="clustered"/>
        <c:varyColors val="0"/>
        <c:ser>
          <c:idx val="4"/>
          <c:order val="0"/>
          <c:tx>
            <c:strRef>
              <c:f>'Main CIS fig2&amp;3'!$J$2</c:f>
              <c:strCache>
                <c:ptCount val="1"/>
                <c:pt idx="0">
                  <c:v>CIS 2018-2020</c:v>
                </c:pt>
              </c:strCache>
            </c:strRef>
          </c:tx>
          <c:spPr>
            <a:solidFill>
              <a:srgbClr val="A0207B"/>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A0207B"/>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fig2&amp;3'!$A$20,'Main CIS fig2&amp;3'!$A$25,'Main CIS fig2&amp;3'!$A$26,'Main CIS fig2&amp;3'!$A$27,'Main CIS fig2&amp;3'!$A$28,'Main CIS fig2&amp;3'!$A$29)</c:f>
              <c:strCache>
                <c:ptCount val="6"/>
                <c:pt idx="0">
                  <c:v>ΥΠΗΡΕΣΙΕΣ (Ζ -Η - Ι - ΙΑ - ΙΓ)</c:v>
                </c:pt>
                <c:pt idx="1">
                  <c:v>Ζ(46). ΧΟΝΔΡΙΚΟ ΕΜΠΟΡΙΟ</c:v>
                </c:pt>
                <c:pt idx="2">
                  <c:v>Η. ΜΕΤΑΦΟΡΑ ΚΑΙ ΑΠΟΘΗΚΕΥΣΗ</c:v>
                </c:pt>
                <c:pt idx="3">
                  <c:v>Ι. ΕΝΗΜΕΡΩΣΗ ΚΑΙ ΕΠΙΚΟΙΝΩΝΙΑ</c:v>
                </c:pt>
                <c:pt idx="4">
                  <c:v>ΙΑ. ΧΡΗΜΑΤΟΠΙΣΤΩΤΙΚΕΣ ΚΑΙ ΑΣΦΑΛΙΣΤΙΚΕΣ ΔΡΑΣΤΗΡΙΟΤΗΤΕΣ</c:v>
                </c:pt>
                <c:pt idx="5">
                  <c:v>ΙΓ. ΕΠΑΓΓΕΛΜΑΤΙΚΕΣ, ΕΠΙΣΤΗΜΟΝΙΚΕΣ ΚΑΙ ΤΕΧΝΙΚΕΣ ΔΡΑΣΤΗΡΙΟΤΗΤΕΣ</c:v>
                </c:pt>
              </c:strCache>
            </c:strRef>
          </c:cat>
          <c:val>
            <c:numRef>
              <c:f>('Main CIS fig2&amp;3'!$K$20,'Main CIS fig2&amp;3'!$K$25:$K$29)</c:f>
              <c:numCache>
                <c:formatCode>0.0%</c:formatCode>
                <c:ptCount val="6"/>
                <c:pt idx="0">
                  <c:v>0.72927522501184272</c:v>
                </c:pt>
                <c:pt idx="1">
                  <c:v>0.75272129907084062</c:v>
                </c:pt>
                <c:pt idx="2">
                  <c:v>0.62416078906665562</c:v>
                </c:pt>
                <c:pt idx="3">
                  <c:v>0.78388675812048325</c:v>
                </c:pt>
                <c:pt idx="4">
                  <c:v>0.78908849700080474</c:v>
                </c:pt>
                <c:pt idx="5">
                  <c:v>0.75421013310261009</c:v>
                </c:pt>
              </c:numCache>
            </c:numRef>
          </c:val>
          <c:extLst>
            <c:ext xmlns:c16="http://schemas.microsoft.com/office/drawing/2014/chart" uri="{C3380CC4-5D6E-409C-BE32-E72D297353CC}">
              <c16:uniqueId val="{00000000-5B60-4386-9551-7FB99014A59A}"/>
            </c:ext>
          </c:extLst>
        </c:ser>
        <c:ser>
          <c:idx val="3"/>
          <c:order val="1"/>
          <c:tx>
            <c:strRef>
              <c:f>'Main CIS fig2&amp;3'!$H$2</c:f>
              <c:strCache>
                <c:ptCount val="1"/>
                <c:pt idx="0">
                  <c:v>CIS 2016-2018</c:v>
                </c:pt>
              </c:strCache>
            </c:strRef>
          </c:tx>
          <c:spPr>
            <a:solidFill>
              <a:srgbClr val="769BAA"/>
            </a:solidFill>
            <a:ln w="19050">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fig2&amp;3'!$A$20,'Main CIS fig2&amp;3'!$A$25,'Main CIS fig2&amp;3'!$A$26,'Main CIS fig2&amp;3'!$A$27,'Main CIS fig2&amp;3'!$A$28,'Main CIS fig2&amp;3'!$A$29)</c:f>
              <c:strCache>
                <c:ptCount val="6"/>
                <c:pt idx="0">
                  <c:v>ΥΠΗΡΕΣΙΕΣ (Ζ -Η - Ι - ΙΑ - ΙΓ)</c:v>
                </c:pt>
                <c:pt idx="1">
                  <c:v>Ζ(46). ΧΟΝΔΡΙΚΟ ΕΜΠΟΡΙΟ</c:v>
                </c:pt>
                <c:pt idx="2">
                  <c:v>Η. ΜΕΤΑΦΟΡΑ ΚΑΙ ΑΠΟΘΗΚΕΥΣΗ</c:v>
                </c:pt>
                <c:pt idx="3">
                  <c:v>Ι. ΕΝΗΜΕΡΩΣΗ ΚΑΙ ΕΠΙΚΟΙΝΩΝΙΑ</c:v>
                </c:pt>
                <c:pt idx="4">
                  <c:v>ΙΑ. ΧΡΗΜΑΤΟΠΙΣΤΩΤΙΚΕΣ ΚΑΙ ΑΣΦΑΛΙΣΤΙΚΕΣ ΔΡΑΣΤΗΡΙΟΤΗΤΕΣ</c:v>
                </c:pt>
                <c:pt idx="5">
                  <c:v>ΙΓ. ΕΠΑΓΓΕΛΜΑΤΙΚΕΣ, ΕΠΙΣΤΗΜΟΝΙΚΕΣ ΚΑΙ ΤΕΧΝΙΚΕΣ ΔΡΑΣΤΗΡΙΟΤΗΤΕΣ</c:v>
                </c:pt>
              </c:strCache>
            </c:strRef>
          </c:cat>
          <c:val>
            <c:numRef>
              <c:f>('Main CIS fig2&amp;3'!$I$20,'Main CIS fig2&amp;3'!$I$25,'Main CIS fig2&amp;3'!$I$26,'Main CIS fig2&amp;3'!$I$27,'Main CIS fig2&amp;3'!$I$28,'Main CIS fig2&amp;3'!$I$29)</c:f>
              <c:numCache>
                <c:formatCode>0.0%</c:formatCode>
                <c:ptCount val="6"/>
                <c:pt idx="0">
                  <c:v>0.58870292887029285</c:v>
                </c:pt>
                <c:pt idx="1">
                  <c:v>0.59493670886075944</c:v>
                </c:pt>
                <c:pt idx="2">
                  <c:v>0.49750312109862671</c:v>
                </c:pt>
                <c:pt idx="3">
                  <c:v>0.67962308598351007</c:v>
                </c:pt>
                <c:pt idx="4">
                  <c:v>0.59523809523809523</c:v>
                </c:pt>
                <c:pt idx="5">
                  <c:v>0.6581059390048154</c:v>
                </c:pt>
              </c:numCache>
            </c:numRef>
          </c:val>
          <c:extLst>
            <c:ext xmlns:c16="http://schemas.microsoft.com/office/drawing/2014/chart" uri="{C3380CC4-5D6E-409C-BE32-E72D297353CC}">
              <c16:uniqueId val="{00000001-5B60-4386-9551-7FB99014A59A}"/>
            </c:ext>
          </c:extLst>
        </c:ser>
        <c:ser>
          <c:idx val="2"/>
          <c:order val="2"/>
          <c:tx>
            <c:strRef>
              <c:f>'Main CIS fig2&amp;3'!$F$2</c:f>
              <c:strCache>
                <c:ptCount val="1"/>
                <c:pt idx="0">
                  <c:v>CIS 2014-2016</c:v>
                </c:pt>
              </c:strCache>
            </c:strRef>
          </c:tx>
          <c:spPr>
            <a:solidFill>
              <a:srgbClr val="95B5B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fig2&amp;3'!$A$20,'Main CIS fig2&amp;3'!$A$25,'Main CIS fig2&amp;3'!$A$26,'Main CIS fig2&amp;3'!$A$27,'Main CIS fig2&amp;3'!$A$28,'Main CIS fig2&amp;3'!$A$29)</c:f>
              <c:strCache>
                <c:ptCount val="6"/>
                <c:pt idx="0">
                  <c:v>ΥΠΗΡΕΣΙΕΣ (Ζ -Η - Ι - ΙΑ - ΙΓ)</c:v>
                </c:pt>
                <c:pt idx="1">
                  <c:v>Ζ(46). ΧΟΝΔΡΙΚΟ ΕΜΠΟΡΙΟ</c:v>
                </c:pt>
                <c:pt idx="2">
                  <c:v>Η. ΜΕΤΑΦΟΡΑ ΚΑΙ ΑΠΟΘΗΚΕΥΣΗ</c:v>
                </c:pt>
                <c:pt idx="3">
                  <c:v>Ι. ΕΝΗΜΕΡΩΣΗ ΚΑΙ ΕΠΙΚΟΙΝΩΝΙΑ</c:v>
                </c:pt>
                <c:pt idx="4">
                  <c:v>ΙΑ. ΧΡΗΜΑΤΟΠΙΣΤΩΤΙΚΕΣ ΚΑΙ ΑΣΦΑΛΙΣΤΙΚΕΣ ΔΡΑΣΤΗΡΙΟΤΗΤΕΣ</c:v>
                </c:pt>
                <c:pt idx="5">
                  <c:v>ΙΓ. ΕΠΑΓΓΕΛΜΑΤΙΚΕΣ, ΕΠΙΣΤΗΜΟΝΙΚΕΣ ΚΑΙ ΤΕΧΝΙΚΕΣ ΔΡΑΣΤΗΡΙΟΤΗΤΕΣ</c:v>
                </c:pt>
              </c:strCache>
            </c:strRef>
          </c:cat>
          <c:val>
            <c:numRef>
              <c:f>('Main CIS fig2&amp;3'!$G$20,'Main CIS fig2&amp;3'!$G$25,'Main CIS fig2&amp;3'!$G$26,'Main CIS fig2&amp;3'!$G$27,'Main CIS fig2&amp;3'!$G$28,'Main CIS fig2&amp;3'!$G$29)</c:f>
              <c:numCache>
                <c:formatCode>0.0%</c:formatCode>
                <c:ptCount val="6"/>
                <c:pt idx="0">
                  <c:v>0.56522122393368734</c:v>
                </c:pt>
                <c:pt idx="1">
                  <c:v>0.59887889736266509</c:v>
                </c:pt>
                <c:pt idx="2">
                  <c:v>0.44351390890269055</c:v>
                </c:pt>
                <c:pt idx="3">
                  <c:v>0.62657339365272657</c:v>
                </c:pt>
                <c:pt idx="4">
                  <c:v>0.57252279021581598</c:v>
                </c:pt>
                <c:pt idx="5">
                  <c:v>0.59928793591303875</c:v>
                </c:pt>
              </c:numCache>
            </c:numRef>
          </c:val>
          <c:extLst>
            <c:ext xmlns:c16="http://schemas.microsoft.com/office/drawing/2014/chart" uri="{C3380CC4-5D6E-409C-BE32-E72D297353CC}">
              <c16:uniqueId val="{00000002-5B60-4386-9551-7FB99014A59A}"/>
            </c:ext>
          </c:extLst>
        </c:ser>
        <c:ser>
          <c:idx val="1"/>
          <c:order val="3"/>
          <c:tx>
            <c:strRef>
              <c:f>'Main CIS fig2&amp;3'!$D$2</c:f>
              <c:strCache>
                <c:ptCount val="1"/>
                <c:pt idx="0">
                  <c:v>CIS 2012-2014</c:v>
                </c:pt>
              </c:strCache>
            </c:strRef>
          </c:tx>
          <c:spPr>
            <a:solidFill>
              <a:srgbClr val="CAE2E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fig2&amp;3'!$A$20,'Main CIS fig2&amp;3'!$A$25,'Main CIS fig2&amp;3'!$A$26,'Main CIS fig2&amp;3'!$A$27,'Main CIS fig2&amp;3'!$A$28,'Main CIS fig2&amp;3'!$A$29)</c:f>
              <c:strCache>
                <c:ptCount val="6"/>
                <c:pt idx="0">
                  <c:v>ΥΠΗΡΕΣΙΕΣ (Ζ -Η - Ι - ΙΑ - ΙΓ)</c:v>
                </c:pt>
                <c:pt idx="1">
                  <c:v>Ζ(46). ΧΟΝΔΡΙΚΟ ΕΜΠΟΡΙΟ</c:v>
                </c:pt>
                <c:pt idx="2">
                  <c:v>Η. ΜΕΤΑΦΟΡΑ ΚΑΙ ΑΠΟΘΗΚΕΥΣΗ</c:v>
                </c:pt>
                <c:pt idx="3">
                  <c:v>Ι. ΕΝΗΜΕΡΩΣΗ ΚΑΙ ΕΠΙΚΟΙΝΩΝΙΑ</c:v>
                </c:pt>
                <c:pt idx="4">
                  <c:v>ΙΑ. ΧΡΗΜΑΤΟΠΙΣΤΩΤΙΚΕΣ ΚΑΙ ΑΣΦΑΛΙΣΤΙΚΕΣ ΔΡΑΣΤΗΡΙΟΤΗΤΕΣ</c:v>
                </c:pt>
                <c:pt idx="5">
                  <c:v>ΙΓ. ΕΠΑΓΓΕΛΜΑΤΙΚΕΣ, ΕΠΙΣΤΗΜΟΝΙΚΕΣ ΚΑΙ ΤΕΧΝΙΚΕΣ ΔΡΑΣΤΗΡΙΟΤΗΤΕΣ</c:v>
                </c:pt>
              </c:strCache>
            </c:strRef>
          </c:cat>
          <c:val>
            <c:numRef>
              <c:f>('Main CIS fig2&amp;3'!$E$20,'Main CIS fig2&amp;3'!$E$25,'Main CIS fig2&amp;3'!$E$26,'Main CIS fig2&amp;3'!$E$27,'Main CIS fig2&amp;3'!$E$28,'Main CIS fig2&amp;3'!$E$29)</c:f>
              <c:numCache>
                <c:formatCode>0.0%</c:formatCode>
                <c:ptCount val="6"/>
                <c:pt idx="0">
                  <c:v>0.47990922440261646</c:v>
                </c:pt>
                <c:pt idx="1">
                  <c:v>0.49598393574297189</c:v>
                </c:pt>
                <c:pt idx="2">
                  <c:v>0.35310734463276838</c:v>
                </c:pt>
                <c:pt idx="3">
                  <c:v>0.59662775616083008</c:v>
                </c:pt>
                <c:pt idx="4">
                  <c:v>0.49044585987261147</c:v>
                </c:pt>
                <c:pt idx="5">
                  <c:v>0.50375939849624063</c:v>
                </c:pt>
              </c:numCache>
            </c:numRef>
          </c:val>
          <c:extLst>
            <c:ext xmlns:c16="http://schemas.microsoft.com/office/drawing/2014/chart" uri="{C3380CC4-5D6E-409C-BE32-E72D297353CC}">
              <c16:uniqueId val="{00000003-5B60-4386-9551-7FB99014A59A}"/>
            </c:ext>
          </c:extLst>
        </c:ser>
        <c:ser>
          <c:idx val="0"/>
          <c:order val="4"/>
          <c:tx>
            <c:strRef>
              <c:f>'Main CIS fig2&amp;3'!$B$2</c:f>
              <c:strCache>
                <c:ptCount val="1"/>
                <c:pt idx="0">
                  <c:v>CIS 2010-2012</c:v>
                </c:pt>
              </c:strCache>
            </c:strRef>
          </c:tx>
          <c:spPr>
            <a:solidFill>
              <a:srgbClr val="EFF6F7"/>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fig2&amp;3'!$A$20,'Main CIS fig2&amp;3'!$A$25,'Main CIS fig2&amp;3'!$A$26,'Main CIS fig2&amp;3'!$A$27,'Main CIS fig2&amp;3'!$A$28,'Main CIS fig2&amp;3'!$A$29)</c:f>
              <c:strCache>
                <c:ptCount val="6"/>
                <c:pt idx="0">
                  <c:v>ΥΠΗΡΕΣΙΕΣ (Ζ -Η - Ι - ΙΑ - ΙΓ)</c:v>
                </c:pt>
                <c:pt idx="1">
                  <c:v>Ζ(46). ΧΟΝΔΡΙΚΟ ΕΜΠΟΡΙΟ</c:v>
                </c:pt>
                <c:pt idx="2">
                  <c:v>Η. ΜΕΤΑΦΟΡΑ ΚΑΙ ΑΠΟΘΗΚΕΥΣΗ</c:v>
                </c:pt>
                <c:pt idx="3">
                  <c:v>Ι. ΕΝΗΜΕΡΩΣΗ ΚΑΙ ΕΠΙΚΟΙΝΩΝΙΑ</c:v>
                </c:pt>
                <c:pt idx="4">
                  <c:v>ΙΑ. ΧΡΗΜΑΤΟΠΙΣΤΩΤΙΚΕΣ ΚΑΙ ΑΣΦΑΛΙΣΤΙΚΕΣ ΔΡΑΣΤΗΡΙΟΤΗΤΕΣ</c:v>
                </c:pt>
                <c:pt idx="5">
                  <c:v>ΙΓ. ΕΠΑΓΓΕΛΜΑΤΙΚΕΣ, ΕΠΙΣΤΗΜΟΝΙΚΕΣ ΚΑΙ ΤΕΧΝΙΚΕΣ ΔΡΑΣΤΗΡΙΟΤΗΤΕΣ</c:v>
                </c:pt>
              </c:strCache>
            </c:strRef>
          </c:cat>
          <c:val>
            <c:numRef>
              <c:f>('Main CIS fig2&amp;3'!$C$20,'Main CIS fig2&amp;3'!$C$25,'Main CIS fig2&amp;3'!$C$26,'Main CIS fig2&amp;3'!$C$27,'Main CIS fig2&amp;3'!$C$28,'Main CIS fig2&amp;3'!$C$29)</c:f>
              <c:numCache>
                <c:formatCode>0.0%</c:formatCode>
                <c:ptCount val="6"/>
                <c:pt idx="0">
                  <c:v>0.51841609050911375</c:v>
                </c:pt>
                <c:pt idx="1">
                  <c:v>0.54965357967667439</c:v>
                </c:pt>
                <c:pt idx="2">
                  <c:v>0.36400817995910023</c:v>
                </c:pt>
                <c:pt idx="3">
                  <c:v>0.62927981109799291</c:v>
                </c:pt>
                <c:pt idx="4">
                  <c:v>0.43979057591623039</c:v>
                </c:pt>
                <c:pt idx="5">
                  <c:v>0.51673944687045126</c:v>
                </c:pt>
              </c:numCache>
            </c:numRef>
          </c:val>
          <c:extLst>
            <c:ext xmlns:c16="http://schemas.microsoft.com/office/drawing/2014/chart" uri="{C3380CC4-5D6E-409C-BE32-E72D297353CC}">
              <c16:uniqueId val="{00000004-5B60-4386-9551-7FB99014A59A}"/>
            </c:ext>
          </c:extLst>
        </c:ser>
        <c:dLbls>
          <c:showLegendKey val="0"/>
          <c:showVal val="0"/>
          <c:showCatName val="0"/>
          <c:showSerName val="0"/>
          <c:showPercent val="0"/>
          <c:showBubbleSize val="0"/>
        </c:dLbls>
        <c:gapWidth val="182"/>
        <c:axId val="100442112"/>
        <c:axId val="100443648"/>
      </c:barChart>
      <c:catAx>
        <c:axId val="100442112"/>
        <c:scaling>
          <c:orientation val="maxMin"/>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00443648"/>
        <c:crosses val="autoZero"/>
        <c:auto val="1"/>
        <c:lblAlgn val="ctr"/>
        <c:lblOffset val="100"/>
        <c:noMultiLvlLbl val="0"/>
      </c:catAx>
      <c:valAx>
        <c:axId val="10044364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0442112"/>
        <c:crosses val="autoZero"/>
        <c:crossBetween val="between"/>
        <c:majorUnit val="0.2"/>
      </c:valAx>
      <c:spPr>
        <a:noFill/>
        <a:ln>
          <a:noFill/>
        </a:ln>
        <a:effectLst/>
      </c:spPr>
    </c:plotArea>
    <c:legend>
      <c:legendPos val="r"/>
      <c:layout>
        <c:manualLayout>
          <c:xMode val="edge"/>
          <c:yMode val="edge"/>
          <c:x val="0.81770864778571695"/>
          <c:y val="0.22783817881242738"/>
          <c:w val="0.17414295281995715"/>
          <c:h val="0.266768271810522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65922506813085"/>
          <c:y val="5.6191117583702682E-2"/>
          <c:w val="0.36213915789261975"/>
          <c:h val="0.92510120177872002"/>
        </c:manualLayout>
      </c:layout>
      <c:barChart>
        <c:barDir val="bar"/>
        <c:grouping val="clustered"/>
        <c:varyColors val="0"/>
        <c:ser>
          <c:idx val="4"/>
          <c:order val="0"/>
          <c:tx>
            <c:strRef>
              <c:f>'Main CIS fig2&amp;3'!$J$2</c:f>
              <c:strCache>
                <c:ptCount val="1"/>
                <c:pt idx="0">
                  <c:v>CIS 2018-2020</c:v>
                </c:pt>
              </c:strCache>
            </c:strRef>
          </c:tx>
          <c:spPr>
            <a:solidFill>
              <a:srgbClr val="A0207B"/>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A0207B"/>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fig2&amp;3'!$A$19,'Main CIS fig2&amp;3'!$A$21,'Main CIS fig2&amp;3'!$A$22,'Main CIS fig2&amp;3'!$A$23,'Main CIS fig2&amp;3'!$A$24)</c:f>
              <c:strCache>
                <c:ptCount val="5"/>
                <c:pt idx="0">
                  <c:v>ΒΙΟΜΗΧΑΝΙΑ (Β -Γ - Δ - Ε)</c:v>
                </c:pt>
                <c:pt idx="1">
                  <c:v>Β. ΟΡΥΧΕΙΑ ΚΑΙ ΛΑΤΟΜΕΙΑ</c:v>
                </c:pt>
                <c:pt idx="2">
                  <c:v>Γ. ΜΕΤΑΠΟΙΗΣΗ</c:v>
                </c:pt>
                <c:pt idx="3">
                  <c:v>Δ. ΠΑΡΟΧΗ ΗΛΕΚΤΡΙΚΟΥ ΡΕΥΜΑΤΟΣ, ΦΥΣΙΚΟΥ ΑΕΡΙΟΥ, ΑΤΜΟΥ ΚΑΙ ΚΛΙΜΑΤΙΣΜΟΥ</c:v>
                </c:pt>
                <c:pt idx="4">
                  <c:v>Ε. ΠΑΡΟΧΗ ΝΕΡΟΥ· ΕΠΕΞΕΡΓΑΣΙΑ ΛΥΜΑΤΩΝ, ΔΙΑΧΕΙΡΙΣΗ ΑΠΟΒΛΗΤΩΝ ΚΑΙ ΔΡΑΣΤΗΡΙΟΤΗΤΕΣ ΕΞΥΓΙΑΝΣΗΣ</c:v>
                </c:pt>
              </c:strCache>
            </c:strRef>
          </c:cat>
          <c:val>
            <c:numRef>
              <c:f>('Main CIS fig2&amp;3'!$K$19,'Main CIS fig2&amp;3'!$K$21,'Main CIS fig2&amp;3'!$K$22,'Main CIS fig2&amp;3'!$K$23,'Main CIS fig2&amp;3'!$K$24)</c:f>
              <c:numCache>
                <c:formatCode>0.0%</c:formatCode>
                <c:ptCount val="5"/>
                <c:pt idx="0">
                  <c:v>0.72132484907815309</c:v>
                </c:pt>
                <c:pt idx="1">
                  <c:v>0.48865961199294516</c:v>
                </c:pt>
                <c:pt idx="2">
                  <c:v>0.72879638692226201</c:v>
                </c:pt>
                <c:pt idx="3">
                  <c:v>0.68913857677902635</c:v>
                </c:pt>
                <c:pt idx="4">
                  <c:v>0.69152655134873564</c:v>
                </c:pt>
              </c:numCache>
            </c:numRef>
          </c:val>
          <c:extLst>
            <c:ext xmlns:c16="http://schemas.microsoft.com/office/drawing/2014/chart" uri="{C3380CC4-5D6E-409C-BE32-E72D297353CC}">
              <c16:uniqueId val="{00000000-13F3-4A17-B694-9184C8F412CD}"/>
            </c:ext>
          </c:extLst>
        </c:ser>
        <c:ser>
          <c:idx val="3"/>
          <c:order val="1"/>
          <c:tx>
            <c:strRef>
              <c:f>'Main CIS fig2&amp;3'!$H$2</c:f>
              <c:strCache>
                <c:ptCount val="1"/>
                <c:pt idx="0">
                  <c:v>CIS 2016-2018</c:v>
                </c:pt>
              </c:strCache>
            </c:strRef>
          </c:tx>
          <c:spPr>
            <a:solidFill>
              <a:srgbClr val="769BAA"/>
            </a:solidFill>
            <a:ln w="19050">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fig2&amp;3'!$A$19,'Main CIS fig2&amp;3'!$A$21,'Main CIS fig2&amp;3'!$A$22,'Main CIS fig2&amp;3'!$A$23,'Main CIS fig2&amp;3'!$A$24)</c:f>
              <c:strCache>
                <c:ptCount val="5"/>
                <c:pt idx="0">
                  <c:v>ΒΙΟΜΗΧΑΝΙΑ (Β -Γ - Δ - Ε)</c:v>
                </c:pt>
                <c:pt idx="1">
                  <c:v>Β. ΟΡΥΧΕΙΑ ΚΑΙ ΛΑΤΟΜΕΙΑ</c:v>
                </c:pt>
                <c:pt idx="2">
                  <c:v>Γ. ΜΕΤΑΠΟΙΗΣΗ</c:v>
                </c:pt>
                <c:pt idx="3">
                  <c:v>Δ. ΠΑΡΟΧΗ ΗΛΕΚΤΡΙΚΟΥ ΡΕΥΜΑΤΟΣ, ΦΥΣΙΚΟΥ ΑΕΡΙΟΥ, ΑΤΜΟΥ ΚΑΙ ΚΛΙΜΑΤΙΣΜΟΥ</c:v>
                </c:pt>
                <c:pt idx="4">
                  <c:v>Ε. ΠΑΡΟΧΗ ΝΕΡΟΥ· ΕΠΕΞΕΡΓΑΣΙΑ ΛΥΜΑΤΩΝ, ΔΙΑΧΕΙΡΙΣΗ ΑΠΟΒΛΗΤΩΝ ΚΑΙ ΔΡΑΣΤΗΡΙΟΤΗΤΕΣ ΕΞΥΓΙΑΝΣΗΣ</c:v>
                </c:pt>
              </c:strCache>
            </c:strRef>
          </c:cat>
          <c:val>
            <c:numRef>
              <c:f>('Main CIS fig2&amp;3'!$I$19,'Main CIS fig2&amp;3'!$I$21:$I$24)</c:f>
              <c:numCache>
                <c:formatCode>0.0%</c:formatCode>
                <c:ptCount val="5"/>
                <c:pt idx="0">
                  <c:v>0.6239095955590801</c:v>
                </c:pt>
                <c:pt idx="1">
                  <c:v>0.57352941176470584</c:v>
                </c:pt>
                <c:pt idx="2">
                  <c:v>0.62885934819897082</c:v>
                </c:pt>
                <c:pt idx="3">
                  <c:v>0.59649122807017541</c:v>
                </c:pt>
                <c:pt idx="4">
                  <c:v>0.5490196078431373</c:v>
                </c:pt>
              </c:numCache>
            </c:numRef>
          </c:val>
          <c:extLst>
            <c:ext xmlns:c16="http://schemas.microsoft.com/office/drawing/2014/chart" uri="{C3380CC4-5D6E-409C-BE32-E72D297353CC}">
              <c16:uniqueId val="{00000001-13F3-4A17-B694-9184C8F412CD}"/>
            </c:ext>
          </c:extLst>
        </c:ser>
        <c:ser>
          <c:idx val="2"/>
          <c:order val="2"/>
          <c:tx>
            <c:strRef>
              <c:f>'Main CIS fig2&amp;3'!$F$2</c:f>
              <c:strCache>
                <c:ptCount val="1"/>
                <c:pt idx="0">
                  <c:v>CIS 2014-2016</c:v>
                </c:pt>
              </c:strCache>
            </c:strRef>
          </c:tx>
          <c:spPr>
            <a:solidFill>
              <a:srgbClr val="95B5B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fig2&amp;3'!$A$19,'Main CIS fig2&amp;3'!$A$21,'Main CIS fig2&amp;3'!$A$22,'Main CIS fig2&amp;3'!$A$23,'Main CIS fig2&amp;3'!$A$24)</c:f>
              <c:strCache>
                <c:ptCount val="5"/>
                <c:pt idx="0">
                  <c:v>ΒΙΟΜΗΧΑΝΙΑ (Β -Γ - Δ - Ε)</c:v>
                </c:pt>
                <c:pt idx="1">
                  <c:v>Β. ΟΡΥΧΕΙΑ ΚΑΙ ΛΑΤΟΜΕΙΑ</c:v>
                </c:pt>
                <c:pt idx="2">
                  <c:v>Γ. ΜΕΤΑΠΟΙΗΣΗ</c:v>
                </c:pt>
                <c:pt idx="3">
                  <c:v>Δ. ΠΑΡΟΧΗ ΗΛΕΚΤΡΙΚΟΥ ΡΕΥΜΑΤΟΣ, ΦΥΣΙΚΟΥ ΑΕΡΙΟΥ, ΑΤΜΟΥ ΚΑΙ ΚΛΙΜΑΤΙΣΜΟΥ</c:v>
                </c:pt>
                <c:pt idx="4">
                  <c:v>Ε. ΠΑΡΟΧΗ ΝΕΡΟΥ· ΕΠΕΞΕΡΓΑΣΙΑ ΛΥΜΑΤΩΝ, ΔΙΑΧΕΙΡΙΣΗ ΑΠΟΒΛΗΤΩΝ ΚΑΙ ΔΡΑΣΤΗΡΙΟΤΗΤΕΣ ΕΞΥΓΙΑΝΣΗΣ</c:v>
                </c:pt>
              </c:strCache>
            </c:strRef>
          </c:cat>
          <c:val>
            <c:numRef>
              <c:f>('Main CIS fig2&amp;3'!$G$19,'Main CIS fig2&amp;3'!$G$21:$G$24)</c:f>
              <c:numCache>
                <c:formatCode>0.0%</c:formatCode>
                <c:ptCount val="5"/>
                <c:pt idx="0">
                  <c:v>0.59459345261797214</c:v>
                </c:pt>
                <c:pt idx="1">
                  <c:v>0.50126262626262619</c:v>
                </c:pt>
                <c:pt idx="2">
                  <c:v>0.59538453865424168</c:v>
                </c:pt>
                <c:pt idx="3">
                  <c:v>0.48947368421052645</c:v>
                </c:pt>
                <c:pt idx="4">
                  <c:v>0.6232291666666665</c:v>
                </c:pt>
              </c:numCache>
            </c:numRef>
          </c:val>
          <c:extLst>
            <c:ext xmlns:c16="http://schemas.microsoft.com/office/drawing/2014/chart" uri="{C3380CC4-5D6E-409C-BE32-E72D297353CC}">
              <c16:uniqueId val="{00000002-13F3-4A17-B694-9184C8F412CD}"/>
            </c:ext>
          </c:extLst>
        </c:ser>
        <c:ser>
          <c:idx val="1"/>
          <c:order val="3"/>
          <c:tx>
            <c:strRef>
              <c:f>'Main CIS fig2&amp;3'!$D$2</c:f>
              <c:strCache>
                <c:ptCount val="1"/>
                <c:pt idx="0">
                  <c:v>CIS 2012-2014</c:v>
                </c:pt>
              </c:strCache>
            </c:strRef>
          </c:tx>
          <c:spPr>
            <a:solidFill>
              <a:srgbClr val="CAE2E4"/>
            </a:solidFill>
            <a:ln>
              <a:noFill/>
            </a:ln>
            <a:effectLst/>
          </c:spPr>
          <c:invertIfNegative val="0"/>
          <c:dPt>
            <c:idx val="0"/>
            <c:invertIfNegative val="0"/>
            <c:bubble3D val="0"/>
            <c:extLst>
              <c:ext xmlns:c16="http://schemas.microsoft.com/office/drawing/2014/chart" uri="{C3380CC4-5D6E-409C-BE32-E72D297353CC}">
                <c16:uniqueId val="{00000003-13F3-4A17-B694-9184C8F412C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fig2&amp;3'!$A$19,'Main CIS fig2&amp;3'!$A$21,'Main CIS fig2&amp;3'!$A$22,'Main CIS fig2&amp;3'!$A$23,'Main CIS fig2&amp;3'!$A$24)</c:f>
              <c:strCache>
                <c:ptCount val="5"/>
                <c:pt idx="0">
                  <c:v>ΒΙΟΜΗΧΑΝΙΑ (Β -Γ - Δ - Ε)</c:v>
                </c:pt>
                <c:pt idx="1">
                  <c:v>Β. ΟΡΥΧΕΙΑ ΚΑΙ ΛΑΤΟΜΕΙΑ</c:v>
                </c:pt>
                <c:pt idx="2">
                  <c:v>Γ. ΜΕΤΑΠΟΙΗΣΗ</c:v>
                </c:pt>
                <c:pt idx="3">
                  <c:v>Δ. ΠΑΡΟΧΗ ΗΛΕΚΤΡΙΚΟΥ ΡΕΥΜΑΤΟΣ, ΦΥΣΙΚΟΥ ΑΕΡΙΟΥ, ΑΤΜΟΥ ΚΑΙ ΚΛΙΜΑΤΙΣΜΟΥ</c:v>
                </c:pt>
                <c:pt idx="4">
                  <c:v>Ε. ΠΑΡΟΧΗ ΝΕΡΟΥ· ΕΠΕΞΕΡΓΑΣΙΑ ΛΥΜΑΤΩΝ, ΔΙΑΧΕΙΡΙΣΗ ΑΠΟΒΛΗΤΩΝ ΚΑΙ ΔΡΑΣΤΗΡΙΟΤΗΤΕΣ ΕΞΥΓΙΑΝΣΗΣ</c:v>
                </c:pt>
              </c:strCache>
            </c:strRef>
          </c:cat>
          <c:val>
            <c:numRef>
              <c:f>('Main CIS fig2&amp;3'!$E$19,'Main CIS fig2&amp;3'!$E$21:$E$24)</c:f>
              <c:numCache>
                <c:formatCode>0.0%</c:formatCode>
                <c:ptCount val="5"/>
                <c:pt idx="0">
                  <c:v>0.54502518891687657</c:v>
                </c:pt>
                <c:pt idx="1">
                  <c:v>0.29059829059829062</c:v>
                </c:pt>
                <c:pt idx="2">
                  <c:v>0.55082900686652148</c:v>
                </c:pt>
                <c:pt idx="3">
                  <c:v>0.390625</c:v>
                </c:pt>
                <c:pt idx="4">
                  <c:v>0.56999999999999995</c:v>
                </c:pt>
              </c:numCache>
            </c:numRef>
          </c:val>
          <c:extLst>
            <c:ext xmlns:c16="http://schemas.microsoft.com/office/drawing/2014/chart" uri="{C3380CC4-5D6E-409C-BE32-E72D297353CC}">
              <c16:uniqueId val="{00000004-13F3-4A17-B694-9184C8F412CD}"/>
            </c:ext>
          </c:extLst>
        </c:ser>
        <c:ser>
          <c:idx val="0"/>
          <c:order val="4"/>
          <c:tx>
            <c:strRef>
              <c:f>'Main CIS fig2&amp;3'!$B$2</c:f>
              <c:strCache>
                <c:ptCount val="1"/>
                <c:pt idx="0">
                  <c:v>CIS 2010-2012</c:v>
                </c:pt>
              </c:strCache>
            </c:strRef>
          </c:tx>
          <c:spPr>
            <a:solidFill>
              <a:srgbClr val="EFF6F7"/>
            </a:solidFill>
            <a:ln>
              <a:noFill/>
            </a:ln>
            <a:effectLst/>
          </c:spPr>
          <c:invertIfNegative val="0"/>
          <c:dPt>
            <c:idx val="0"/>
            <c:invertIfNegative val="0"/>
            <c:bubble3D val="0"/>
            <c:extLst>
              <c:ext xmlns:c16="http://schemas.microsoft.com/office/drawing/2014/chart" uri="{C3380CC4-5D6E-409C-BE32-E72D297353CC}">
                <c16:uniqueId val="{00000005-13F3-4A17-B694-9184C8F412C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('Main CIS fig2&amp;3'!$A$19,'Main CIS fig2&amp;3'!$A$21,'Main CIS fig2&amp;3'!$A$22,'Main CIS fig2&amp;3'!$A$23,'Main CIS fig2&amp;3'!$A$24)</c:f>
              <c:strCache>
                <c:ptCount val="5"/>
                <c:pt idx="0">
                  <c:v>ΒΙΟΜΗΧΑΝΙΑ (Β -Γ - Δ - Ε)</c:v>
                </c:pt>
                <c:pt idx="1">
                  <c:v>Β. ΟΡΥΧΕΙΑ ΚΑΙ ΛΑΤΟΜΕΙΑ</c:v>
                </c:pt>
                <c:pt idx="2">
                  <c:v>Γ. ΜΕΤΑΠΟΙΗΣΗ</c:v>
                </c:pt>
                <c:pt idx="3">
                  <c:v>Δ. ΠΑΡΟΧΗ ΗΛΕΚΤΡΙΚΟΥ ΡΕΥΜΑΤΟΣ, ΦΥΣΙΚΟΥ ΑΕΡΙΟΥ, ΑΤΜΟΥ ΚΑΙ ΚΛΙΜΑΤΙΣΜΟΥ</c:v>
                </c:pt>
                <c:pt idx="4">
                  <c:v>Ε. ΠΑΡΟΧΗ ΝΕΡΟΥ· ΕΠΕΞΕΡΓΑΣΙΑ ΛΥΜΑΤΩΝ, ΔΙΑΧΕΙΡΙΣΗ ΑΠΟΒΛΗΤΩΝ ΚΑΙ ΔΡΑΣΤΗΡΙΟΤΗΤΕΣ ΕΞΥΓΙΑΝΣΗΣ</c:v>
                </c:pt>
              </c:strCache>
            </c:strRef>
          </c:cat>
          <c:val>
            <c:numRef>
              <c:f>('Main CIS fig2&amp;3'!$C$19,'Main CIS fig2&amp;3'!$C$21:$C$24)</c:f>
              <c:numCache>
                <c:formatCode>0.0%</c:formatCode>
                <c:ptCount val="5"/>
                <c:pt idx="0">
                  <c:v>0.52829920364050054</c:v>
                </c:pt>
                <c:pt idx="1">
                  <c:v>0.27049180327868855</c:v>
                </c:pt>
                <c:pt idx="2">
                  <c:v>0.53594476962329285</c:v>
                </c:pt>
                <c:pt idx="3">
                  <c:v>0.39130434782608697</c:v>
                </c:pt>
                <c:pt idx="4">
                  <c:v>0.46268656716417911</c:v>
                </c:pt>
              </c:numCache>
            </c:numRef>
          </c:val>
          <c:extLst>
            <c:ext xmlns:c16="http://schemas.microsoft.com/office/drawing/2014/chart" uri="{C3380CC4-5D6E-409C-BE32-E72D297353CC}">
              <c16:uniqueId val="{00000006-13F3-4A17-B694-9184C8F412CD}"/>
            </c:ext>
          </c:extLst>
        </c:ser>
        <c:dLbls>
          <c:showLegendKey val="0"/>
          <c:showVal val="0"/>
          <c:showCatName val="0"/>
          <c:showSerName val="0"/>
          <c:showPercent val="0"/>
          <c:showBubbleSize val="0"/>
        </c:dLbls>
        <c:gapWidth val="182"/>
        <c:axId val="100267136"/>
        <c:axId val="100268672"/>
      </c:barChart>
      <c:catAx>
        <c:axId val="100267136"/>
        <c:scaling>
          <c:orientation val="maxMin"/>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00268672"/>
        <c:crosses val="autoZero"/>
        <c:auto val="1"/>
        <c:lblAlgn val="ctr"/>
        <c:lblOffset val="100"/>
        <c:noMultiLvlLbl val="0"/>
      </c:catAx>
      <c:valAx>
        <c:axId val="10026867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0267136"/>
        <c:crosses val="autoZero"/>
        <c:crossBetween val="between"/>
        <c:majorUnit val="0.2"/>
      </c:valAx>
      <c:spPr>
        <a:noFill/>
        <a:ln>
          <a:noFill/>
        </a:ln>
        <a:effectLst/>
      </c:spPr>
    </c:plotArea>
    <c:legend>
      <c:legendPos val="r"/>
      <c:layout>
        <c:manualLayout>
          <c:xMode val="edge"/>
          <c:yMode val="edge"/>
          <c:x val="0.82283102543216569"/>
          <c:y val="0.25770475396415643"/>
          <c:w val="0.17461469615148681"/>
          <c:h val="0.2700018217318244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506561679790026E-2"/>
          <c:y val="4.6155741553060528E-2"/>
          <c:w val="0.93554063938728971"/>
          <c:h val="0.62573357129697005"/>
        </c:manualLayout>
      </c:layout>
      <c:barChart>
        <c:barDir val="col"/>
        <c:grouping val="clustered"/>
        <c:varyColors val="0"/>
        <c:ser>
          <c:idx val="0"/>
          <c:order val="0"/>
          <c:tx>
            <c:strRef>
              <c:f>regional!$B$20</c:f>
              <c:strCache>
                <c:ptCount val="1"/>
                <c:pt idx="0">
                  <c:v>CIS 2016-2018</c:v>
                </c:pt>
              </c:strCache>
            </c:strRef>
          </c:tx>
          <c:spPr>
            <a:solidFill>
              <a:srgbClr val="95B5B3"/>
            </a:solidFill>
            <a:ln>
              <a:noFill/>
            </a:ln>
            <a:effectLst/>
          </c:spPr>
          <c:invertIfNegative val="0"/>
          <c:dLbls>
            <c:dLbl>
              <c:idx val="9"/>
              <c:layout/>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268-4C97-9719-86582B5D9332}"/>
                </c:ext>
              </c:extLst>
            </c:dLbl>
            <c:dLbl>
              <c:idx val="12"/>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268-4C97-9719-86582B5D9332}"/>
                </c:ext>
              </c:extLst>
            </c:dLbl>
            <c:numFmt formatCode="0.0%" sourceLinked="0"/>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CF Din Book" panose="02000506000000020004" pitchFamily="2" charset="-95"/>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regional!$A$21:$A$33</c:f>
              <c:strCache>
                <c:ptCount val="13"/>
                <c:pt idx="0">
                  <c:v>Κεντρική Μακεδονία</c:v>
                </c:pt>
                <c:pt idx="1">
                  <c:v>Θεσσαλία</c:v>
                </c:pt>
                <c:pt idx="2">
                  <c:v>Κρήτη</c:v>
                </c:pt>
                <c:pt idx="3">
                  <c:v>Δυτική Ελλάδα</c:v>
                </c:pt>
                <c:pt idx="4">
                  <c:v>Αττική</c:v>
                </c:pt>
                <c:pt idx="5">
                  <c:v>Ήπειρος</c:v>
                </c:pt>
                <c:pt idx="6">
                  <c:v>Πελοπόννησος</c:v>
                </c:pt>
                <c:pt idx="7">
                  <c:v>Στερεά Ελλάδα</c:v>
                </c:pt>
                <c:pt idx="8">
                  <c:v>Αν. Μακεδονία &amp; Θράκη</c:v>
                </c:pt>
                <c:pt idx="9">
                  <c:v>Δυτική Μακεδονία</c:v>
                </c:pt>
                <c:pt idx="10">
                  <c:v>Ιόνια Νησιά</c:v>
                </c:pt>
                <c:pt idx="11">
                  <c:v>Νότιο Αιγαίο</c:v>
                </c:pt>
                <c:pt idx="12">
                  <c:v>Βόρειο Αιγαίο</c:v>
                </c:pt>
              </c:strCache>
            </c:strRef>
          </c:cat>
          <c:val>
            <c:numRef>
              <c:f>regional!$B$21:$B$33</c:f>
              <c:numCache>
                <c:formatCode>0.00%</c:formatCode>
                <c:ptCount val="13"/>
                <c:pt idx="0">
                  <c:v>0.62151531517857417</c:v>
                </c:pt>
                <c:pt idx="1">
                  <c:v>0.59876595896013374</c:v>
                </c:pt>
                <c:pt idx="2">
                  <c:v>0.60781630170316336</c:v>
                </c:pt>
                <c:pt idx="3">
                  <c:v>0.57187226596675422</c:v>
                </c:pt>
                <c:pt idx="4">
                  <c:v>0.61601442840093201</c:v>
                </c:pt>
                <c:pt idx="5">
                  <c:v>0.55166666666666686</c:v>
                </c:pt>
                <c:pt idx="6">
                  <c:v>0.56363636363636382</c:v>
                </c:pt>
                <c:pt idx="7">
                  <c:v>0.5941975308641978</c:v>
                </c:pt>
                <c:pt idx="8">
                  <c:v>0.56915773693853799</c:v>
                </c:pt>
                <c:pt idx="9">
                  <c:v>0.49999999999999972</c:v>
                </c:pt>
                <c:pt idx="10">
                  <c:v>0.47878139592290153</c:v>
                </c:pt>
                <c:pt idx="11">
                  <c:v>0.46357850070721368</c:v>
                </c:pt>
                <c:pt idx="12">
                  <c:v>0.53033707865168556</c:v>
                </c:pt>
              </c:numCache>
            </c:numRef>
          </c:val>
          <c:extLst>
            <c:ext xmlns:c16="http://schemas.microsoft.com/office/drawing/2014/chart" uri="{C3380CC4-5D6E-409C-BE32-E72D297353CC}">
              <c16:uniqueId val="{00000002-0268-4C97-9719-86582B5D9332}"/>
            </c:ext>
          </c:extLst>
        </c:ser>
        <c:ser>
          <c:idx val="1"/>
          <c:order val="1"/>
          <c:tx>
            <c:strRef>
              <c:f>regional!$C$20</c:f>
              <c:strCache>
                <c:ptCount val="1"/>
                <c:pt idx="0">
                  <c:v>CIS 2018-2020</c:v>
                </c:pt>
              </c:strCache>
            </c:strRef>
          </c:tx>
          <c:spPr>
            <a:solidFill>
              <a:srgbClr val="A0207B"/>
            </a:solidFill>
            <a:ln>
              <a:noFill/>
            </a:ln>
            <a:effectLst/>
          </c:spPr>
          <c:invertIfNegative val="0"/>
          <c:dLbls>
            <c:dLbl>
              <c:idx val="0"/>
              <c:layout/>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268-4C97-9719-86582B5D9332}"/>
                </c:ext>
              </c:extLst>
            </c:dLbl>
            <c:dLbl>
              <c:idx val="12"/>
              <c:layout>
                <c:manualLayout>
                  <c:x val="2.1137180300146411E-3"/>
                  <c:y val="-4.7270148900969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268-4C97-9719-86582B5D9332}"/>
                </c:ext>
              </c:extLst>
            </c:dLbl>
            <c:numFmt formatCode="0.0%" sourceLinked="0"/>
            <c:spPr>
              <a:noFill/>
              <a:ln>
                <a:noFill/>
              </a:ln>
              <a:effectLst/>
            </c:spPr>
            <c:txPr>
              <a:bodyPr rot="-5400000" spcFirstLastPara="1" vertOverflow="ellipsis" wrap="square" anchor="ctr" anchorCtr="1"/>
              <a:lstStyle/>
              <a:p>
                <a:pPr>
                  <a:defRPr sz="1100" b="0" i="0" u="none" strike="noStrike" kern="1200" baseline="0">
                    <a:solidFill>
                      <a:srgbClr val="A0207B"/>
                    </a:solidFill>
                    <a:latin typeface="CF Din Book" panose="02000506000000020004" pitchFamily="2" charset="-95"/>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regional!$A$21:$A$33</c:f>
              <c:strCache>
                <c:ptCount val="13"/>
                <c:pt idx="0">
                  <c:v>Κεντρική Μακεδονία</c:v>
                </c:pt>
                <c:pt idx="1">
                  <c:v>Θεσσαλία</c:v>
                </c:pt>
                <c:pt idx="2">
                  <c:v>Κρήτη</c:v>
                </c:pt>
                <c:pt idx="3">
                  <c:v>Δυτική Ελλάδα</c:v>
                </c:pt>
                <c:pt idx="4">
                  <c:v>Αττική</c:v>
                </c:pt>
                <c:pt idx="5">
                  <c:v>Ήπειρος</c:v>
                </c:pt>
                <c:pt idx="6">
                  <c:v>Πελοπόννησος</c:v>
                </c:pt>
                <c:pt idx="7">
                  <c:v>Στερεά Ελλάδα</c:v>
                </c:pt>
                <c:pt idx="8">
                  <c:v>Αν. Μακεδονία &amp; Θράκη</c:v>
                </c:pt>
                <c:pt idx="9">
                  <c:v>Δυτική Μακεδονία</c:v>
                </c:pt>
                <c:pt idx="10">
                  <c:v>Ιόνια Νησιά</c:v>
                </c:pt>
                <c:pt idx="11">
                  <c:v>Νότιο Αιγαίο</c:v>
                </c:pt>
                <c:pt idx="12">
                  <c:v>Βόρειο Αιγαίο</c:v>
                </c:pt>
              </c:strCache>
            </c:strRef>
          </c:cat>
          <c:val>
            <c:numRef>
              <c:f>regional!$C$21:$C$33</c:f>
              <c:numCache>
                <c:formatCode>0.00%</c:formatCode>
                <c:ptCount val="13"/>
                <c:pt idx="0">
                  <c:v>0.78016833192621349</c:v>
                </c:pt>
                <c:pt idx="1">
                  <c:v>0.74735579305977873</c:v>
                </c:pt>
                <c:pt idx="2">
                  <c:v>0.74526484626484579</c:v>
                </c:pt>
                <c:pt idx="3">
                  <c:v>0.74163886660191702</c:v>
                </c:pt>
                <c:pt idx="4">
                  <c:v>0.72166974184982946</c:v>
                </c:pt>
                <c:pt idx="5">
                  <c:v>0.71905395136778116</c:v>
                </c:pt>
                <c:pt idx="6">
                  <c:v>0.70767641206183951</c:v>
                </c:pt>
                <c:pt idx="7">
                  <c:v>0.68303938859494406</c:v>
                </c:pt>
                <c:pt idx="8">
                  <c:v>0.68241748234108568</c:v>
                </c:pt>
                <c:pt idx="9">
                  <c:v>0.64096563927558969</c:v>
                </c:pt>
                <c:pt idx="10">
                  <c:v>0.59799054373522464</c:v>
                </c:pt>
                <c:pt idx="11">
                  <c:v>0.59678926152645062</c:v>
                </c:pt>
                <c:pt idx="12">
                  <c:v>0.54940476190476173</c:v>
                </c:pt>
              </c:numCache>
            </c:numRef>
          </c:val>
          <c:extLst>
            <c:ext xmlns:c16="http://schemas.microsoft.com/office/drawing/2014/chart" uri="{C3380CC4-5D6E-409C-BE32-E72D297353CC}">
              <c16:uniqueId val="{00000005-0268-4C97-9719-86582B5D9332}"/>
            </c:ext>
          </c:extLst>
        </c:ser>
        <c:dLbls>
          <c:showLegendKey val="0"/>
          <c:showVal val="0"/>
          <c:showCatName val="0"/>
          <c:showSerName val="0"/>
          <c:showPercent val="0"/>
          <c:showBubbleSize val="0"/>
        </c:dLbls>
        <c:gapWidth val="219"/>
        <c:axId val="33237424"/>
        <c:axId val="33244496"/>
      </c:barChart>
      <c:lineChart>
        <c:grouping val="standard"/>
        <c:varyColors val="0"/>
        <c:ser>
          <c:idx val="3"/>
          <c:order val="2"/>
          <c:tx>
            <c:v>Ελλάδα 2016-2018</c:v>
          </c:tx>
          <c:spPr>
            <a:ln w="28575" cap="rnd">
              <a:solidFill>
                <a:schemeClr val="tx1">
                  <a:lumMod val="50000"/>
                  <a:lumOff val="50000"/>
                </a:schemeClr>
              </a:solidFill>
              <a:prstDash val="sysDash"/>
              <a:round/>
            </a:ln>
            <a:effectLst/>
          </c:spPr>
          <c:marker>
            <c:symbol val="none"/>
          </c:marker>
          <c:cat>
            <c:strRef>
              <c:f>regional!$A$21:$A$33</c:f>
              <c:strCache>
                <c:ptCount val="13"/>
                <c:pt idx="0">
                  <c:v>Κεντρική Μακεδονία</c:v>
                </c:pt>
                <c:pt idx="1">
                  <c:v>Θεσσαλία</c:v>
                </c:pt>
                <c:pt idx="2">
                  <c:v>Κρήτη</c:v>
                </c:pt>
                <c:pt idx="3">
                  <c:v>Δυτική Ελλάδα</c:v>
                </c:pt>
                <c:pt idx="4">
                  <c:v>Αττική</c:v>
                </c:pt>
                <c:pt idx="5">
                  <c:v>Ήπειρος</c:v>
                </c:pt>
                <c:pt idx="6">
                  <c:v>Πελοπόννησος</c:v>
                </c:pt>
                <c:pt idx="7">
                  <c:v>Στερεά Ελλάδα</c:v>
                </c:pt>
                <c:pt idx="8">
                  <c:v>Αν. Μακεδονία &amp; Θράκη</c:v>
                </c:pt>
                <c:pt idx="9">
                  <c:v>Δυτική Μακεδονία</c:v>
                </c:pt>
                <c:pt idx="10">
                  <c:v>Ιόνια Νησιά</c:v>
                </c:pt>
                <c:pt idx="11">
                  <c:v>Νότιο Αιγαίο</c:v>
                </c:pt>
                <c:pt idx="12">
                  <c:v>Βόρειο Αιγαίο</c:v>
                </c:pt>
              </c:strCache>
            </c:strRef>
          </c:cat>
          <c:val>
            <c:numRef>
              <c:f>regional!$D$21:$D$33</c:f>
              <c:numCache>
                <c:formatCode>0.00%</c:formatCode>
                <c:ptCount val="13"/>
                <c:pt idx="0">
                  <c:v>0.60324645619268591</c:v>
                </c:pt>
                <c:pt idx="1">
                  <c:v>0.60324645619268591</c:v>
                </c:pt>
                <c:pt idx="2">
                  <c:v>0.60324645619268591</c:v>
                </c:pt>
                <c:pt idx="3">
                  <c:v>0.60324645619268591</c:v>
                </c:pt>
                <c:pt idx="4">
                  <c:v>0.60324645619268591</c:v>
                </c:pt>
                <c:pt idx="5">
                  <c:v>0.60324645619268591</c:v>
                </c:pt>
                <c:pt idx="6">
                  <c:v>0.60324645619268591</c:v>
                </c:pt>
                <c:pt idx="7">
                  <c:v>0.60324645619268591</c:v>
                </c:pt>
                <c:pt idx="8">
                  <c:v>0.60324645619268591</c:v>
                </c:pt>
                <c:pt idx="9">
                  <c:v>0.60324645619268591</c:v>
                </c:pt>
                <c:pt idx="10">
                  <c:v>0.60324645619268591</c:v>
                </c:pt>
                <c:pt idx="11">
                  <c:v>0.60324645619268591</c:v>
                </c:pt>
                <c:pt idx="12">
                  <c:v>0.60324645619268591</c:v>
                </c:pt>
              </c:numCache>
            </c:numRef>
          </c:val>
          <c:smooth val="0"/>
          <c:extLst>
            <c:ext xmlns:c16="http://schemas.microsoft.com/office/drawing/2014/chart" uri="{C3380CC4-5D6E-409C-BE32-E72D297353CC}">
              <c16:uniqueId val="{00000006-0268-4C97-9719-86582B5D9332}"/>
            </c:ext>
          </c:extLst>
        </c:ser>
        <c:ser>
          <c:idx val="2"/>
          <c:order val="3"/>
          <c:tx>
            <c:v>Ελλάδα 2018-2020</c:v>
          </c:tx>
          <c:spPr>
            <a:ln w="28575" cap="rnd">
              <a:solidFill>
                <a:schemeClr val="tx1"/>
              </a:solidFill>
              <a:round/>
            </a:ln>
            <a:effectLst/>
          </c:spPr>
          <c:marker>
            <c:symbol val="none"/>
          </c:marker>
          <c:cat>
            <c:strRef>
              <c:f>regional!$A$21:$A$33</c:f>
              <c:strCache>
                <c:ptCount val="13"/>
                <c:pt idx="0">
                  <c:v>Κεντρική Μακεδονία</c:v>
                </c:pt>
                <c:pt idx="1">
                  <c:v>Θεσσαλία</c:v>
                </c:pt>
                <c:pt idx="2">
                  <c:v>Κρήτη</c:v>
                </c:pt>
                <c:pt idx="3">
                  <c:v>Δυτική Ελλάδα</c:v>
                </c:pt>
                <c:pt idx="4">
                  <c:v>Αττική</c:v>
                </c:pt>
                <c:pt idx="5">
                  <c:v>Ήπειρος</c:v>
                </c:pt>
                <c:pt idx="6">
                  <c:v>Πελοπόννησος</c:v>
                </c:pt>
                <c:pt idx="7">
                  <c:v>Στερεά Ελλάδα</c:v>
                </c:pt>
                <c:pt idx="8">
                  <c:v>Αν. Μακεδονία &amp; Θράκη</c:v>
                </c:pt>
                <c:pt idx="9">
                  <c:v>Δυτική Μακεδονία</c:v>
                </c:pt>
                <c:pt idx="10">
                  <c:v>Ιόνια Νησιά</c:v>
                </c:pt>
                <c:pt idx="11">
                  <c:v>Νότιο Αιγαίο</c:v>
                </c:pt>
                <c:pt idx="12">
                  <c:v>Βόρειο Αιγαίο</c:v>
                </c:pt>
              </c:strCache>
            </c:strRef>
          </c:cat>
          <c:val>
            <c:numRef>
              <c:f>regional!$E$21:$E$33</c:f>
              <c:numCache>
                <c:formatCode>0.00%</c:formatCode>
                <c:ptCount val="13"/>
                <c:pt idx="0">
                  <c:v>0.72554691580119279</c:v>
                </c:pt>
                <c:pt idx="1">
                  <c:v>0.72554691580119279</c:v>
                </c:pt>
                <c:pt idx="2">
                  <c:v>0.72554691580119279</c:v>
                </c:pt>
                <c:pt idx="3">
                  <c:v>0.72554691580119279</c:v>
                </c:pt>
                <c:pt idx="4">
                  <c:v>0.72554691580119279</c:v>
                </c:pt>
                <c:pt idx="5">
                  <c:v>0.72554691580119279</c:v>
                </c:pt>
                <c:pt idx="6">
                  <c:v>0.72554691580119279</c:v>
                </c:pt>
                <c:pt idx="7">
                  <c:v>0.72554691580119279</c:v>
                </c:pt>
                <c:pt idx="8">
                  <c:v>0.72554691580119279</c:v>
                </c:pt>
                <c:pt idx="9">
                  <c:v>0.72554691580119279</c:v>
                </c:pt>
                <c:pt idx="10">
                  <c:v>0.72554691580119279</c:v>
                </c:pt>
                <c:pt idx="11">
                  <c:v>0.72554691580119279</c:v>
                </c:pt>
                <c:pt idx="12">
                  <c:v>0.72554691580119279</c:v>
                </c:pt>
              </c:numCache>
            </c:numRef>
          </c:val>
          <c:smooth val="0"/>
          <c:extLst>
            <c:ext xmlns:c16="http://schemas.microsoft.com/office/drawing/2014/chart" uri="{C3380CC4-5D6E-409C-BE32-E72D297353CC}">
              <c16:uniqueId val="{00000007-0268-4C97-9719-86582B5D9332}"/>
            </c:ext>
          </c:extLst>
        </c:ser>
        <c:dLbls>
          <c:showLegendKey val="0"/>
          <c:showVal val="0"/>
          <c:showCatName val="0"/>
          <c:showSerName val="0"/>
          <c:showPercent val="0"/>
          <c:showBubbleSize val="0"/>
        </c:dLbls>
        <c:marker val="1"/>
        <c:smooth val="0"/>
        <c:axId val="33237424"/>
        <c:axId val="33244496"/>
      </c:lineChart>
      <c:catAx>
        <c:axId val="3323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CF Din Book" panose="02000506000000020004" pitchFamily="2" charset="-95"/>
                <a:ea typeface="+mn-ea"/>
                <a:cs typeface="+mn-cs"/>
              </a:defRPr>
            </a:pPr>
            <a:endParaRPr lang="en-US"/>
          </a:p>
        </c:txPr>
        <c:crossAx val="33244496"/>
        <c:crosses val="autoZero"/>
        <c:auto val="1"/>
        <c:lblAlgn val="ctr"/>
        <c:lblOffset val="100"/>
        <c:noMultiLvlLbl val="0"/>
      </c:catAx>
      <c:valAx>
        <c:axId val="3324449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F Din Book" panose="02000506000000020004" pitchFamily="2" charset="-95"/>
                <a:ea typeface="+mn-ea"/>
                <a:cs typeface="+mn-cs"/>
              </a:defRPr>
            </a:pPr>
            <a:endParaRPr lang="en-US"/>
          </a:p>
        </c:txPr>
        <c:crossAx val="33237424"/>
        <c:crosses val="autoZero"/>
        <c:crossBetween val="between"/>
      </c:valAx>
      <c:spPr>
        <a:noFill/>
        <a:ln>
          <a:noFill/>
        </a:ln>
        <a:effectLst/>
      </c:spPr>
    </c:plotArea>
    <c:legend>
      <c:legendPos val="b"/>
      <c:layout>
        <c:manualLayout>
          <c:xMode val="edge"/>
          <c:yMode val="edge"/>
          <c:x val="1.1030778730337846E-2"/>
          <c:y val="0.95614005287408144"/>
          <c:w val="0.98896922126966214"/>
          <c:h val="3.448105219169947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CF Din Book" panose="02000506000000020004" pitchFamily="2" charset="-95"/>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CF Din Book" panose="02000506000000020004" pitchFamily="2" charset="-95"/>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CBBB-7207-4DA1-90C8-1C63A8E7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1637</Words>
  <Characters>9337</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Μαργαρίτης Προέδρου</cp:lastModifiedBy>
  <cp:revision>6</cp:revision>
  <cp:lastPrinted>2022-09-02T13:20:00Z</cp:lastPrinted>
  <dcterms:created xsi:type="dcterms:W3CDTF">2022-09-02T14:06:00Z</dcterms:created>
  <dcterms:modified xsi:type="dcterms:W3CDTF">2022-09-05T13:27:00Z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