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2" w:rsidRPr="00EF0419" w:rsidRDefault="00CE7716" w:rsidP="00FD2F31">
      <w:pPr>
        <w:pStyle w:val="9"/>
        <w:spacing w:line="240" w:lineRule="auto"/>
        <w:ind w:left="0" w:right="0" w:firstLine="0"/>
        <w:rPr>
          <w:rFonts w:ascii="Verdana" w:hAnsi="Verdana"/>
          <w:szCs w:val="22"/>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728" o:allowincell="f">
            <v:imagedata r:id="rId8" o:title=""/>
            <w10:wrap type="topAndBottom"/>
          </v:shape>
          <o:OLEObject Type="Embed" ProgID="Photoshop.Image.5" ShapeID="_x0000_s1029" DrawAspect="Content" ObjectID="_1531136722" r:id="rId9">
            <o:FieldCodes>\s</o:FieldCodes>
          </o:OLEObject>
        </w:obje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EF0419">
        <w:rPr>
          <w:rFonts w:ascii="Verdana" w:hAnsi="Verdana"/>
          <w:szCs w:val="22"/>
        </w:rPr>
        <w:t xml:space="preserve">Αθήνα, </w:t>
      </w:r>
      <w:r w:rsidR="00EF0419" w:rsidRPr="00EF0419">
        <w:rPr>
          <w:rFonts w:ascii="Verdana" w:hAnsi="Verdana"/>
          <w:szCs w:val="22"/>
        </w:rPr>
        <w:t>2</w:t>
      </w:r>
      <w:r w:rsidR="00806190">
        <w:rPr>
          <w:rFonts w:ascii="Verdana" w:hAnsi="Verdana"/>
          <w:szCs w:val="22"/>
        </w:rPr>
        <w:t>7</w:t>
      </w:r>
      <w:r w:rsidR="00EF0419" w:rsidRPr="005A3F77">
        <w:rPr>
          <w:rFonts w:ascii="Verdana" w:hAnsi="Verdana"/>
          <w:szCs w:val="22"/>
        </w:rPr>
        <w:t>/</w:t>
      </w:r>
      <w:r w:rsidR="00E72ED3" w:rsidRPr="00EF0419">
        <w:rPr>
          <w:rFonts w:ascii="Verdana" w:hAnsi="Verdana"/>
          <w:szCs w:val="22"/>
        </w:rPr>
        <w:t>07</w:t>
      </w:r>
      <w:r w:rsidR="009B5EA3" w:rsidRPr="00EF0419">
        <w:rPr>
          <w:rFonts w:ascii="Verdana" w:hAnsi="Verdana"/>
          <w:szCs w:val="22"/>
        </w:rPr>
        <w:t>/20</w:t>
      </w:r>
      <w:r w:rsidR="004556A4" w:rsidRPr="00EF0419">
        <w:rPr>
          <w:rFonts w:ascii="Verdana" w:hAnsi="Verdana"/>
          <w:szCs w:val="22"/>
        </w:rPr>
        <w:t>1</w:t>
      </w:r>
      <w:r w:rsidR="00E72ED3" w:rsidRPr="00EF0419">
        <w:rPr>
          <w:rFonts w:ascii="Verdana" w:hAnsi="Verdana"/>
          <w:szCs w:val="22"/>
        </w:rPr>
        <w:t>6</w:t>
      </w:r>
    </w:p>
    <w:p w:rsidR="00B56702" w:rsidRPr="00EF0419" w:rsidRDefault="00B56702" w:rsidP="00FD2F31">
      <w:pPr>
        <w:pStyle w:val="a3"/>
        <w:rPr>
          <w:rFonts w:ascii="Verdana" w:hAnsi="Verdana"/>
          <w:sz w:val="24"/>
          <w:szCs w:val="24"/>
          <w:lang w:val="el-GR"/>
        </w:rPr>
      </w:pPr>
      <w:r w:rsidRPr="00EF0419">
        <w:rPr>
          <w:rFonts w:ascii="Verdana" w:hAnsi="Verdana"/>
          <w:sz w:val="24"/>
          <w:szCs w:val="24"/>
          <w:lang w:val="el-GR"/>
        </w:rPr>
        <w:t>ΔΕΛΤΙΟ ΤΥΠΟΥ</w:t>
      </w:r>
    </w:p>
    <w:p w:rsidR="007A71D0" w:rsidRPr="00F71F51" w:rsidRDefault="007A71D0" w:rsidP="00E959EF">
      <w:pPr>
        <w:jc w:val="center"/>
        <w:rPr>
          <w:rFonts w:ascii="Verdana" w:hAnsi="Verdana"/>
          <w:b/>
          <w:i/>
          <w:sz w:val="16"/>
          <w:szCs w:val="22"/>
          <w:lang w:val="el-GR"/>
        </w:rPr>
      </w:pPr>
    </w:p>
    <w:p w:rsidR="00F71F51" w:rsidRPr="00F71F51" w:rsidRDefault="00F71F51" w:rsidP="00F71F51">
      <w:pPr>
        <w:jc w:val="center"/>
        <w:rPr>
          <w:rFonts w:ascii="Verdana" w:hAnsi="Verdana"/>
          <w:b/>
          <w:sz w:val="22"/>
          <w:lang w:val="el-GR" w:eastAsia="el-GR"/>
        </w:rPr>
      </w:pPr>
      <w:r w:rsidRPr="00F71F51">
        <w:rPr>
          <w:rFonts w:ascii="Verdana" w:hAnsi="Verdana"/>
          <w:b/>
          <w:sz w:val="22"/>
          <w:lang w:val="el-GR" w:eastAsia="el-GR"/>
        </w:rPr>
        <w:t>Υψηλή συμμετοχή της Ελλάδας στο ευρωπαϊκό πρόγραμμα Ορίζοντας 2020 για Έρευνα &amp; Καινοτομία</w:t>
      </w:r>
    </w:p>
    <w:p w:rsidR="00F71F51" w:rsidRPr="00F71F51" w:rsidRDefault="00F71F51" w:rsidP="00F71F51">
      <w:pPr>
        <w:jc w:val="center"/>
        <w:rPr>
          <w:rFonts w:ascii="Verdana" w:hAnsi="Verdana"/>
          <w:i/>
          <w:sz w:val="22"/>
          <w:lang w:val="el-GR" w:eastAsia="el-GR"/>
        </w:rPr>
      </w:pPr>
      <w:r>
        <w:rPr>
          <w:rFonts w:ascii="Verdana" w:hAnsi="Verdana"/>
          <w:i/>
          <w:sz w:val="22"/>
          <w:lang w:val="el-GR" w:eastAsia="el-GR"/>
        </w:rPr>
        <w:t>Οι</w:t>
      </w:r>
      <w:r w:rsidRPr="00F71F51">
        <w:rPr>
          <w:rFonts w:ascii="Verdana" w:hAnsi="Verdana"/>
          <w:i/>
          <w:sz w:val="22"/>
          <w:lang w:val="el-GR" w:eastAsia="el-GR"/>
        </w:rPr>
        <w:t xml:space="preserve"> ελληνικές ερευνητικές ομάδες συμμετέχουν με επιτυχία στη διεκδίκηση ευρωπαϊκής χρηματοδότησης για ερευνητικά έργα</w:t>
      </w:r>
    </w:p>
    <w:p w:rsidR="00F71F51" w:rsidRDefault="00F71F51" w:rsidP="00F71F51">
      <w:pPr>
        <w:jc w:val="both"/>
        <w:rPr>
          <w:rFonts w:ascii="Verdana" w:hAnsi="Verdana"/>
          <w:sz w:val="20"/>
          <w:lang w:val="el-GR" w:eastAsia="el-GR"/>
        </w:rPr>
      </w:pPr>
    </w:p>
    <w:p w:rsidR="00415A91" w:rsidRPr="00133268" w:rsidRDefault="00921FD0" w:rsidP="00F71F51">
      <w:pPr>
        <w:jc w:val="both"/>
        <w:rPr>
          <w:rFonts w:ascii="Verdana" w:hAnsi="Verdana"/>
          <w:sz w:val="20"/>
          <w:lang w:val="el-GR" w:eastAsia="el-GR"/>
        </w:rPr>
      </w:pPr>
      <w:r w:rsidRPr="00EF0419">
        <w:rPr>
          <w:rFonts w:ascii="Verdana" w:hAnsi="Verdana"/>
          <w:sz w:val="20"/>
          <w:lang w:val="el-GR" w:eastAsia="el-GR"/>
        </w:rPr>
        <w:t>Με 1.071 συμμετοχές ελληνικών φορέων</w:t>
      </w:r>
      <w:r w:rsidR="00DF062A" w:rsidRPr="00EF0419">
        <w:rPr>
          <w:rFonts w:ascii="Verdana" w:hAnsi="Verdana"/>
          <w:sz w:val="20"/>
          <w:lang w:val="el-GR" w:eastAsia="el-GR"/>
        </w:rPr>
        <w:t xml:space="preserve"> σε 652 ανταγωνιστικά ευρωπαϊκά έργα έρευνας του </w:t>
      </w:r>
      <w:r w:rsidR="00133268">
        <w:rPr>
          <w:rFonts w:ascii="Verdana" w:hAnsi="Verdana"/>
          <w:sz w:val="20"/>
          <w:lang w:val="el-GR" w:eastAsia="el-GR"/>
        </w:rPr>
        <w:t>προγράμματος "</w:t>
      </w:r>
      <w:r w:rsidR="00DF062A" w:rsidRPr="00EF0419">
        <w:rPr>
          <w:rFonts w:ascii="Verdana" w:hAnsi="Verdana"/>
          <w:sz w:val="20"/>
          <w:lang w:val="el-GR" w:eastAsia="el-GR"/>
        </w:rPr>
        <w:t>Ορίζοντα</w:t>
      </w:r>
      <w:r w:rsidR="00133268">
        <w:rPr>
          <w:rFonts w:ascii="Verdana" w:hAnsi="Verdana"/>
          <w:sz w:val="20"/>
          <w:lang w:val="el-GR" w:eastAsia="el-GR"/>
        </w:rPr>
        <w:t>ς</w:t>
      </w:r>
      <w:r w:rsidR="00DF062A" w:rsidRPr="00EF0419">
        <w:rPr>
          <w:rFonts w:ascii="Verdana" w:hAnsi="Verdana"/>
          <w:sz w:val="20"/>
          <w:lang w:val="el-GR" w:eastAsia="el-GR"/>
        </w:rPr>
        <w:t xml:space="preserve"> 2020</w:t>
      </w:r>
      <w:r w:rsidR="00133268">
        <w:rPr>
          <w:rFonts w:ascii="Verdana" w:hAnsi="Verdana"/>
          <w:sz w:val="20"/>
          <w:lang w:val="el-GR" w:eastAsia="el-GR"/>
        </w:rPr>
        <w:t>" της ΕΕ για την Έρευνα &amp; Καινοτομία</w:t>
      </w:r>
      <w:r w:rsidR="00DF062A" w:rsidRPr="00EF0419">
        <w:rPr>
          <w:rFonts w:ascii="Verdana" w:hAnsi="Verdana"/>
          <w:sz w:val="20"/>
          <w:lang w:val="el-GR" w:eastAsia="el-GR"/>
        </w:rPr>
        <w:t xml:space="preserve">, η Ελλάδα έχει επιτύχει χρηματοδότηση από την Ευρωπαϊκή Επιτροπή ύψους 328,4 εκατ. </w:t>
      </w:r>
      <w:r w:rsidR="00133268" w:rsidRPr="00133268">
        <w:rPr>
          <w:rFonts w:ascii="Verdana" w:hAnsi="Verdana"/>
          <w:sz w:val="20"/>
          <w:lang w:val="el-GR" w:eastAsia="el-GR"/>
        </w:rPr>
        <w:t>ε</w:t>
      </w:r>
      <w:r w:rsidR="00DF062A" w:rsidRPr="00EF0419">
        <w:rPr>
          <w:rFonts w:ascii="Verdana" w:hAnsi="Verdana"/>
          <w:sz w:val="20"/>
          <w:lang w:val="el-GR" w:eastAsia="el-GR"/>
        </w:rPr>
        <w:t>υρώ</w:t>
      </w:r>
      <w:r w:rsidR="00806190">
        <w:rPr>
          <w:rFonts w:ascii="Verdana" w:hAnsi="Verdana"/>
          <w:sz w:val="20"/>
          <w:lang w:val="el-GR" w:eastAsia="el-GR"/>
        </w:rPr>
        <w:t>, γεγονός που την κατατάσσει στην 11</w:t>
      </w:r>
      <w:r w:rsidR="00806190" w:rsidRPr="00806190">
        <w:rPr>
          <w:rFonts w:ascii="Verdana" w:hAnsi="Verdana"/>
          <w:sz w:val="20"/>
          <w:vertAlign w:val="superscript"/>
          <w:lang w:val="el-GR" w:eastAsia="el-GR"/>
        </w:rPr>
        <w:t>η</w:t>
      </w:r>
      <w:r w:rsidR="00806190">
        <w:rPr>
          <w:rFonts w:ascii="Verdana" w:hAnsi="Verdana"/>
          <w:sz w:val="20"/>
          <w:lang w:val="el-GR" w:eastAsia="el-GR"/>
        </w:rPr>
        <w:t xml:space="preserve"> θέση μεταξύ των 28 κρατών μελών της ΕΕ</w:t>
      </w:r>
      <w:r w:rsidR="00DF062A" w:rsidRPr="00EF0419">
        <w:rPr>
          <w:rFonts w:ascii="Verdana" w:hAnsi="Verdana"/>
          <w:sz w:val="20"/>
          <w:lang w:val="el-GR" w:eastAsia="el-GR"/>
        </w:rPr>
        <w:t>.</w:t>
      </w:r>
      <w:r w:rsidR="00133268">
        <w:rPr>
          <w:rFonts w:ascii="Verdana" w:hAnsi="Verdana"/>
          <w:sz w:val="20"/>
          <w:lang w:val="el-GR" w:eastAsia="el-GR"/>
        </w:rPr>
        <w:t xml:space="preserve"> </w:t>
      </w:r>
      <w:r w:rsidR="00415A91">
        <w:rPr>
          <w:rFonts w:ascii="Verdana" w:hAnsi="Verdana"/>
          <w:sz w:val="20"/>
          <w:lang w:val="el-GR" w:eastAsia="el-GR"/>
        </w:rPr>
        <w:t>Η υψηλότερη χρηματοδότηση ελληνικών φορέων καταγράφεται στα επιμέρους προγράμματα</w:t>
      </w:r>
      <w:r w:rsidR="00133268">
        <w:rPr>
          <w:rFonts w:ascii="Verdana" w:hAnsi="Verdana"/>
          <w:sz w:val="20"/>
          <w:lang w:val="el-GR" w:eastAsia="el-GR"/>
        </w:rPr>
        <w:t xml:space="preserve"> "Τεχνολογίες Πληροφορίας και Επικοινων</w:t>
      </w:r>
      <w:r w:rsidR="00540805" w:rsidRPr="00540805">
        <w:rPr>
          <w:rFonts w:ascii="Verdana" w:hAnsi="Verdana"/>
          <w:sz w:val="20"/>
          <w:lang w:val="el-GR" w:eastAsia="el-GR"/>
        </w:rPr>
        <w:t>ι</w:t>
      </w:r>
      <w:r w:rsidR="00540805">
        <w:rPr>
          <w:rFonts w:ascii="Verdana" w:hAnsi="Verdana"/>
          <w:sz w:val="20"/>
          <w:lang w:val="el-GR" w:eastAsia="el-GR"/>
        </w:rPr>
        <w:t>ών</w:t>
      </w:r>
      <w:r w:rsidR="00133268">
        <w:rPr>
          <w:rFonts w:ascii="Verdana" w:hAnsi="Verdana"/>
          <w:sz w:val="20"/>
          <w:lang w:val="el-GR" w:eastAsia="el-GR"/>
        </w:rPr>
        <w:t xml:space="preserve">", Δράσεις </w:t>
      </w:r>
      <w:proofErr w:type="spellStart"/>
      <w:r w:rsidR="00133268">
        <w:rPr>
          <w:rFonts w:ascii="Verdana" w:hAnsi="Verdana"/>
          <w:sz w:val="20"/>
          <w:lang w:val="el-GR" w:eastAsia="el-GR"/>
        </w:rPr>
        <w:t>Μarie</w:t>
      </w:r>
      <w:proofErr w:type="spellEnd"/>
      <w:r w:rsidR="00CE7716" w:rsidRPr="00CE7716">
        <w:rPr>
          <w:rFonts w:ascii="Verdana" w:hAnsi="Verdana"/>
          <w:sz w:val="20"/>
          <w:lang w:val="el-GR" w:eastAsia="el-GR"/>
        </w:rPr>
        <w:t xml:space="preserve"> </w:t>
      </w:r>
      <w:proofErr w:type="spellStart"/>
      <w:r w:rsidR="00133268">
        <w:rPr>
          <w:rFonts w:ascii="Verdana" w:hAnsi="Verdana"/>
          <w:sz w:val="20"/>
          <w:lang w:val="el-GR" w:eastAsia="el-GR"/>
        </w:rPr>
        <w:t>Sklodowska</w:t>
      </w:r>
      <w:r w:rsidR="00CE7716" w:rsidRPr="00CE7716">
        <w:rPr>
          <w:rFonts w:ascii="Verdana" w:hAnsi="Verdana"/>
          <w:sz w:val="20"/>
          <w:lang w:val="el-GR" w:eastAsia="el-GR"/>
        </w:rPr>
        <w:t>-</w:t>
      </w:r>
      <w:r w:rsidR="00133268">
        <w:rPr>
          <w:rFonts w:ascii="Verdana" w:hAnsi="Verdana"/>
          <w:sz w:val="20"/>
          <w:lang w:val="el-GR" w:eastAsia="el-GR"/>
        </w:rPr>
        <w:t>Curie</w:t>
      </w:r>
      <w:proofErr w:type="spellEnd"/>
      <w:r w:rsidR="00133268">
        <w:rPr>
          <w:rFonts w:ascii="Verdana" w:hAnsi="Verdana"/>
          <w:sz w:val="20"/>
          <w:lang w:val="el-GR" w:eastAsia="el-GR"/>
        </w:rPr>
        <w:t xml:space="preserve">", "Υγεία, δημογραφική μεταβολή και ευημερία", "Ασφαλείς κοινωνίες - Προστασία της ελευθερίας και της ασφάλειας της Ευρώπης και των πολιτών της". </w:t>
      </w:r>
    </w:p>
    <w:p w:rsidR="00921FD0" w:rsidRPr="005A3F77" w:rsidRDefault="00921FD0" w:rsidP="002F7C1A">
      <w:pPr>
        <w:jc w:val="both"/>
        <w:rPr>
          <w:rFonts w:ascii="Verdana" w:hAnsi="Verdana"/>
          <w:sz w:val="16"/>
          <w:lang w:val="el-GR" w:eastAsia="el-GR"/>
        </w:rPr>
      </w:pPr>
    </w:p>
    <w:p w:rsidR="00133268" w:rsidRDefault="00133268" w:rsidP="002F7C1A">
      <w:pPr>
        <w:jc w:val="both"/>
        <w:rPr>
          <w:rFonts w:ascii="Verdana" w:hAnsi="Verdana"/>
          <w:sz w:val="20"/>
          <w:lang w:val="el-GR" w:eastAsia="el-GR"/>
        </w:rPr>
      </w:pPr>
      <w:r>
        <w:rPr>
          <w:rFonts w:ascii="Verdana" w:hAnsi="Verdana"/>
          <w:sz w:val="20"/>
          <w:lang w:val="el-GR" w:eastAsia="el-GR"/>
        </w:rPr>
        <w:t xml:space="preserve">Αυτά είναι μερικά από τα κύρια συμπεράσματα που προκύπτουν από τα πλέον πρόσφατα στοιχεία της βάσης δεδομένων </w:t>
      </w:r>
      <w:proofErr w:type="spellStart"/>
      <w:r>
        <w:rPr>
          <w:rFonts w:ascii="Verdana" w:hAnsi="Verdana"/>
          <w:sz w:val="20"/>
          <w:lang w:val="en-US" w:eastAsia="el-GR"/>
        </w:rPr>
        <w:t>e</w:t>
      </w:r>
      <w:r w:rsidR="000D7AA3">
        <w:rPr>
          <w:rFonts w:ascii="Verdana" w:hAnsi="Verdana"/>
          <w:sz w:val="20"/>
          <w:lang w:val="en-US" w:eastAsia="el-GR"/>
        </w:rPr>
        <w:t>CORDA</w:t>
      </w:r>
      <w:proofErr w:type="spellEnd"/>
      <w:r w:rsidRPr="002F7C1A">
        <w:rPr>
          <w:rFonts w:ascii="Verdana" w:hAnsi="Verdana"/>
          <w:sz w:val="20"/>
          <w:lang w:val="el-GR" w:eastAsia="el-GR"/>
        </w:rPr>
        <w:t xml:space="preserve"> </w:t>
      </w:r>
      <w:r>
        <w:rPr>
          <w:rFonts w:ascii="Verdana" w:hAnsi="Verdana"/>
          <w:sz w:val="20"/>
          <w:lang w:val="el-GR" w:eastAsia="el-GR"/>
        </w:rPr>
        <w:t xml:space="preserve">της ΕΕ (Ιούλιος 2016), </w:t>
      </w:r>
      <w:r w:rsidRPr="00415A91">
        <w:rPr>
          <w:rFonts w:ascii="Verdana" w:hAnsi="Verdana"/>
          <w:sz w:val="20"/>
          <w:lang w:val="el-GR" w:eastAsia="el-GR"/>
        </w:rPr>
        <w:t>μετ</w:t>
      </w:r>
      <w:r>
        <w:rPr>
          <w:rFonts w:ascii="Verdana" w:hAnsi="Verdana"/>
          <w:sz w:val="20"/>
          <w:lang w:val="el-GR" w:eastAsia="el-GR"/>
        </w:rPr>
        <w:t xml:space="preserve">ά από επεξεργασία που πραγματοποίησε το Εθνικό Κέντρο Τεκμηρίωσης (ΕΚΤ) που λειτουργεί ως Εθνικό Σημείο Επαφής για τον Ορίζοντα 2020. </w:t>
      </w:r>
    </w:p>
    <w:p w:rsidR="00133268" w:rsidRPr="005A3F77" w:rsidRDefault="00133268" w:rsidP="002F7C1A">
      <w:pPr>
        <w:jc w:val="both"/>
        <w:rPr>
          <w:rFonts w:ascii="Verdana" w:hAnsi="Verdana"/>
          <w:sz w:val="16"/>
          <w:lang w:val="el-GR" w:eastAsia="el-GR"/>
        </w:rPr>
      </w:pPr>
    </w:p>
    <w:p w:rsidR="002F7C1A" w:rsidRPr="002F7C1A" w:rsidRDefault="002F7C1A" w:rsidP="002F7C1A">
      <w:pPr>
        <w:jc w:val="both"/>
        <w:rPr>
          <w:rFonts w:ascii="Verdana" w:hAnsi="Verdana"/>
          <w:sz w:val="20"/>
          <w:lang w:val="el-GR" w:eastAsia="el-GR"/>
        </w:rPr>
      </w:pPr>
      <w:r w:rsidRPr="002F7C1A">
        <w:rPr>
          <w:rFonts w:ascii="Verdana" w:hAnsi="Verdana"/>
          <w:sz w:val="20"/>
          <w:lang w:val="el-GR" w:eastAsia="el-GR"/>
        </w:rPr>
        <w:t>Το πρόγραμμα "Ορίζοντας 2020" (</w:t>
      </w:r>
      <w:proofErr w:type="spellStart"/>
      <w:r w:rsidRPr="002F7C1A">
        <w:rPr>
          <w:rFonts w:ascii="Verdana" w:hAnsi="Verdana"/>
          <w:sz w:val="20"/>
          <w:lang w:val="el-GR" w:eastAsia="el-GR"/>
        </w:rPr>
        <w:t>Horizon</w:t>
      </w:r>
      <w:proofErr w:type="spellEnd"/>
      <w:r w:rsidRPr="002F7C1A">
        <w:rPr>
          <w:rFonts w:ascii="Verdana" w:hAnsi="Verdana"/>
          <w:sz w:val="20"/>
          <w:lang w:val="el-GR" w:eastAsia="el-GR"/>
        </w:rPr>
        <w:t xml:space="preserve"> 2020) είναι το χρηματοδοτικό πλαίσιο της Ε</w:t>
      </w:r>
      <w:r w:rsidR="00816F7B">
        <w:rPr>
          <w:rFonts w:ascii="Verdana" w:hAnsi="Verdana"/>
          <w:sz w:val="20"/>
          <w:lang w:val="el-GR" w:eastAsia="el-GR"/>
        </w:rPr>
        <w:t xml:space="preserve">υρωπαϊκής Επιτροπής </w:t>
      </w:r>
      <w:r w:rsidRPr="002F7C1A">
        <w:rPr>
          <w:rFonts w:ascii="Verdana" w:hAnsi="Verdana"/>
          <w:sz w:val="20"/>
          <w:lang w:val="el-GR" w:eastAsia="el-GR"/>
        </w:rPr>
        <w:t>για την Έρευνα και την Καινοτομία που καλύ</w:t>
      </w:r>
      <w:r w:rsidR="00DF062A">
        <w:rPr>
          <w:rFonts w:ascii="Verdana" w:hAnsi="Verdana"/>
          <w:sz w:val="20"/>
          <w:lang w:val="el-GR" w:eastAsia="el-GR"/>
        </w:rPr>
        <w:t xml:space="preserve">πτει </w:t>
      </w:r>
      <w:r w:rsidRPr="002F7C1A">
        <w:rPr>
          <w:rFonts w:ascii="Verdana" w:hAnsi="Verdana"/>
          <w:sz w:val="20"/>
          <w:lang w:val="el-GR" w:eastAsia="el-GR"/>
        </w:rPr>
        <w:t>την περίοδο 2014-2020, με προϋπολογισμό περίπου 80 δισ. ευρώ. Το πρόγραμμα υποστηρίζει τη στρατηγική "Ευρώπη 2020" που αναδεικνύει την έρευνα και την καινοτομία ως κεντρικούς μοχλούς για την έξυπνη, βιώσιμη και ολοκληρωμένη ανάπτυξη, στοχεύοντας παράλληλα στην αποτελεσματική αντιμετώπιση σημαντικών κοινωνικών προκλήσεων.</w:t>
      </w:r>
    </w:p>
    <w:p w:rsidR="002F7C1A" w:rsidRPr="005A3F77" w:rsidRDefault="002F7C1A" w:rsidP="00E959EF">
      <w:pPr>
        <w:jc w:val="both"/>
        <w:rPr>
          <w:rFonts w:ascii="Verdana" w:hAnsi="Verdana"/>
          <w:sz w:val="16"/>
          <w:lang w:val="el-GR" w:eastAsia="el-GR"/>
        </w:rPr>
      </w:pPr>
    </w:p>
    <w:p w:rsidR="00921FD0" w:rsidRDefault="00133268" w:rsidP="00E959EF">
      <w:pPr>
        <w:jc w:val="both"/>
        <w:rPr>
          <w:rFonts w:ascii="Verdana" w:hAnsi="Verdana"/>
          <w:sz w:val="20"/>
          <w:lang w:val="el-GR" w:eastAsia="el-GR"/>
        </w:rPr>
      </w:pPr>
      <w:r>
        <w:rPr>
          <w:rFonts w:ascii="Verdana" w:hAnsi="Verdana"/>
          <w:sz w:val="20"/>
          <w:lang w:val="el-GR" w:eastAsia="el-GR"/>
        </w:rPr>
        <w:t>Συγκεκριμένα,</w:t>
      </w:r>
      <w:r w:rsidR="00415A91">
        <w:rPr>
          <w:rFonts w:ascii="Verdana" w:hAnsi="Verdana"/>
          <w:sz w:val="20"/>
          <w:lang w:val="el-GR" w:eastAsia="el-GR"/>
        </w:rPr>
        <w:t xml:space="preserve"> </w:t>
      </w:r>
      <w:r w:rsidR="005B0D2E">
        <w:rPr>
          <w:rFonts w:ascii="Verdana" w:hAnsi="Verdana"/>
          <w:sz w:val="20"/>
          <w:lang w:val="el-GR" w:eastAsia="el-GR"/>
        </w:rPr>
        <w:t xml:space="preserve">μέχρι σήμερα στο πλαίσιο του </w:t>
      </w:r>
      <w:r>
        <w:rPr>
          <w:rFonts w:ascii="Verdana" w:hAnsi="Verdana"/>
          <w:sz w:val="20"/>
          <w:lang w:val="el-GR" w:eastAsia="el-GR"/>
        </w:rPr>
        <w:t xml:space="preserve">Ορίζοντα 2020 </w:t>
      </w:r>
      <w:r w:rsidR="005B0D2E" w:rsidRPr="002F7C1A">
        <w:rPr>
          <w:rFonts w:ascii="Verdana" w:hAnsi="Verdana"/>
          <w:sz w:val="20"/>
          <w:lang w:val="el-GR" w:eastAsia="el-GR"/>
        </w:rPr>
        <w:t>έχουν</w:t>
      </w:r>
      <w:r w:rsidR="005B0D2E">
        <w:rPr>
          <w:rFonts w:ascii="Verdana" w:hAnsi="Verdana"/>
          <w:sz w:val="20"/>
          <w:lang w:val="el-GR" w:eastAsia="el-GR"/>
        </w:rPr>
        <w:t xml:space="preserve"> εγκριθεί συνολικά 8.637 ερευνητικά έργα με συνολική κοινοτική χρηματοδότηση 14.471 εκατ. </w:t>
      </w:r>
      <w:r>
        <w:rPr>
          <w:rFonts w:ascii="Verdana" w:hAnsi="Verdana"/>
          <w:sz w:val="20"/>
          <w:lang w:val="el-GR" w:eastAsia="el-GR"/>
        </w:rPr>
        <w:t>ε</w:t>
      </w:r>
      <w:r w:rsidR="005B0D2E">
        <w:rPr>
          <w:rFonts w:ascii="Verdana" w:hAnsi="Verdana"/>
          <w:sz w:val="20"/>
          <w:lang w:val="el-GR" w:eastAsia="el-GR"/>
        </w:rPr>
        <w:t xml:space="preserve">υρώ. </w:t>
      </w:r>
      <w:r w:rsidR="00921FD0">
        <w:rPr>
          <w:rFonts w:ascii="Verdana" w:hAnsi="Verdana"/>
          <w:sz w:val="20"/>
          <w:lang w:val="el-GR" w:eastAsia="el-GR"/>
        </w:rPr>
        <w:t>Η Ελλάδα καταγράφει συνολικά 1.071 συμμετοχές ελληνικών φορέων, σ</w:t>
      </w:r>
      <w:r w:rsidR="005B0D2E">
        <w:rPr>
          <w:rFonts w:ascii="Verdana" w:hAnsi="Verdana"/>
          <w:sz w:val="20"/>
          <w:lang w:val="el-GR" w:eastAsia="el-GR"/>
        </w:rPr>
        <w:t>ε 652 έργα</w:t>
      </w:r>
      <w:r w:rsidR="00921FD0">
        <w:rPr>
          <w:rFonts w:ascii="Verdana" w:hAnsi="Verdana"/>
          <w:sz w:val="20"/>
          <w:lang w:val="el-GR" w:eastAsia="el-GR"/>
        </w:rPr>
        <w:t>,</w:t>
      </w:r>
      <w:r w:rsidR="005B0D2E">
        <w:rPr>
          <w:rFonts w:ascii="Verdana" w:hAnsi="Verdana"/>
          <w:sz w:val="20"/>
          <w:lang w:val="el-GR" w:eastAsia="el-GR"/>
        </w:rPr>
        <w:t xml:space="preserve"> λαμβάνοντας κοινοτική χρηματοδότηση ύψους 328,4 εκατ. </w:t>
      </w:r>
      <w:r>
        <w:rPr>
          <w:rFonts w:ascii="Verdana" w:hAnsi="Verdana"/>
          <w:sz w:val="20"/>
          <w:lang w:val="el-GR" w:eastAsia="el-GR"/>
        </w:rPr>
        <w:t>ε</w:t>
      </w:r>
      <w:r w:rsidR="005B0D2E">
        <w:rPr>
          <w:rFonts w:ascii="Verdana" w:hAnsi="Verdana"/>
          <w:sz w:val="20"/>
          <w:lang w:val="el-GR" w:eastAsia="el-GR"/>
        </w:rPr>
        <w:t>υρώ.</w:t>
      </w:r>
      <w:r w:rsidR="005A3F77" w:rsidRPr="005A3F77">
        <w:rPr>
          <w:rFonts w:ascii="Verdana" w:hAnsi="Verdana"/>
          <w:sz w:val="20"/>
          <w:lang w:val="el-GR" w:eastAsia="el-GR"/>
        </w:rPr>
        <w:t xml:space="preserve"> </w:t>
      </w:r>
      <w:r w:rsidR="005B0D2E">
        <w:rPr>
          <w:rFonts w:ascii="Verdana" w:hAnsi="Verdana"/>
          <w:sz w:val="20"/>
          <w:lang w:val="el-GR" w:eastAsia="el-GR"/>
        </w:rPr>
        <w:t xml:space="preserve">Η κοινοτική αυτή χρηματοδότηση αποτελεί το 2,2% της χρηματοδότησης που έχει δοθεί από τον Ορίζοντα </w:t>
      </w:r>
      <w:r w:rsidR="00921FD0">
        <w:rPr>
          <w:rFonts w:ascii="Verdana" w:hAnsi="Verdana"/>
          <w:sz w:val="20"/>
          <w:lang w:val="el-GR" w:eastAsia="el-GR"/>
        </w:rPr>
        <w:t xml:space="preserve">2020 </w:t>
      </w:r>
      <w:r w:rsidR="005B0D2E">
        <w:rPr>
          <w:rFonts w:ascii="Verdana" w:hAnsi="Verdana"/>
          <w:sz w:val="20"/>
          <w:lang w:val="el-GR" w:eastAsia="el-GR"/>
        </w:rPr>
        <w:t>στα κράτη μέλη της ΕΕ28 και η Ελλάδα βρίσκεται στην 11</w:t>
      </w:r>
      <w:r w:rsidR="005B0D2E" w:rsidRPr="005B0D2E">
        <w:rPr>
          <w:rFonts w:ascii="Verdana" w:hAnsi="Verdana"/>
          <w:sz w:val="20"/>
          <w:vertAlign w:val="superscript"/>
          <w:lang w:val="el-GR" w:eastAsia="el-GR"/>
        </w:rPr>
        <w:t>η</w:t>
      </w:r>
      <w:r w:rsidR="005B0D2E">
        <w:rPr>
          <w:rFonts w:ascii="Verdana" w:hAnsi="Verdana"/>
          <w:sz w:val="20"/>
          <w:lang w:val="el-GR" w:eastAsia="el-GR"/>
        </w:rPr>
        <w:t xml:space="preserve"> θέση, πάνω από χώρες όπως η Φινλανδία, η Πορτογαλία, η Ιρλανδία.</w:t>
      </w:r>
      <w:r w:rsidR="00921FD0">
        <w:rPr>
          <w:rFonts w:ascii="Verdana" w:hAnsi="Verdana"/>
          <w:sz w:val="20"/>
          <w:lang w:val="el-GR" w:eastAsia="el-GR"/>
        </w:rPr>
        <w:t xml:space="preserve"> Με βάση τον αριθμό συμμετοχών </w:t>
      </w:r>
      <w:r>
        <w:rPr>
          <w:rFonts w:ascii="Verdana" w:hAnsi="Verdana"/>
          <w:sz w:val="20"/>
          <w:lang w:val="el-GR" w:eastAsia="el-GR"/>
        </w:rPr>
        <w:t xml:space="preserve">σε εγκεκριμένα έργα στον Ορίζοντα 2020 </w:t>
      </w:r>
      <w:r w:rsidR="00921FD0">
        <w:rPr>
          <w:rFonts w:ascii="Verdana" w:hAnsi="Verdana"/>
          <w:sz w:val="20"/>
          <w:lang w:val="el-GR" w:eastAsia="el-GR"/>
        </w:rPr>
        <w:t>η Ελλάδα βρίσκεται στη 10</w:t>
      </w:r>
      <w:r w:rsidR="00921FD0" w:rsidRPr="00921FD0">
        <w:rPr>
          <w:rFonts w:ascii="Verdana" w:hAnsi="Verdana"/>
          <w:sz w:val="20"/>
          <w:vertAlign w:val="superscript"/>
          <w:lang w:val="el-GR" w:eastAsia="el-GR"/>
        </w:rPr>
        <w:t>η</w:t>
      </w:r>
      <w:r w:rsidR="00921FD0">
        <w:rPr>
          <w:rFonts w:ascii="Verdana" w:hAnsi="Verdana"/>
          <w:sz w:val="20"/>
          <w:lang w:val="el-GR" w:eastAsia="el-GR"/>
        </w:rPr>
        <w:t xml:space="preserve"> θέση.</w:t>
      </w:r>
    </w:p>
    <w:p w:rsidR="00921FD0" w:rsidRPr="005A3F77" w:rsidRDefault="00921FD0" w:rsidP="00E959EF">
      <w:pPr>
        <w:jc w:val="both"/>
        <w:rPr>
          <w:rFonts w:ascii="Verdana" w:hAnsi="Verdana"/>
          <w:sz w:val="16"/>
          <w:lang w:val="el-GR" w:eastAsia="el-GR"/>
        </w:rPr>
      </w:pPr>
    </w:p>
    <w:p w:rsidR="00B74E5D" w:rsidRPr="0099788B" w:rsidRDefault="00221531" w:rsidP="00921FD0">
      <w:pPr>
        <w:jc w:val="both"/>
        <w:rPr>
          <w:rFonts w:ascii="Verdana" w:hAnsi="Verdana"/>
          <w:sz w:val="20"/>
          <w:lang w:val="el-GR" w:eastAsia="el-GR"/>
        </w:rPr>
      </w:pPr>
      <w:r w:rsidRPr="00221531">
        <w:rPr>
          <w:rFonts w:ascii="Verdana" w:hAnsi="Verdana"/>
          <w:sz w:val="20"/>
          <w:lang w:val="el-GR" w:eastAsia="el-GR"/>
        </w:rPr>
        <w:t xml:space="preserve">Η μεγαλύτερη ελληνική συμμετοχή (περίπου το 40% των ελληνικών συμμετοχών και της κοινοτικής χρηματοδότησης) αφορά τον άξονα </w:t>
      </w:r>
      <w:r w:rsidR="00133268">
        <w:rPr>
          <w:rFonts w:ascii="Verdana" w:hAnsi="Verdana"/>
          <w:sz w:val="20"/>
          <w:lang w:val="el-GR" w:eastAsia="el-GR"/>
        </w:rPr>
        <w:t>"</w:t>
      </w:r>
      <w:r w:rsidRPr="00221531">
        <w:rPr>
          <w:rFonts w:ascii="Verdana" w:hAnsi="Verdana"/>
          <w:sz w:val="20"/>
          <w:lang w:val="el-GR" w:eastAsia="el-GR"/>
        </w:rPr>
        <w:t>Κοινωνικές Προκλήσεις (</w:t>
      </w:r>
      <w:proofErr w:type="spellStart"/>
      <w:r w:rsidRPr="00221531">
        <w:rPr>
          <w:rFonts w:ascii="Verdana" w:hAnsi="Verdana"/>
          <w:sz w:val="20"/>
          <w:lang w:val="el-GR" w:eastAsia="el-GR"/>
        </w:rPr>
        <w:t>Societal</w:t>
      </w:r>
      <w:proofErr w:type="spellEnd"/>
      <w:r w:rsidRPr="00221531">
        <w:rPr>
          <w:rFonts w:ascii="Verdana" w:hAnsi="Verdana"/>
          <w:sz w:val="20"/>
          <w:lang w:val="el-GR" w:eastAsia="el-GR"/>
        </w:rPr>
        <w:t xml:space="preserve"> </w:t>
      </w:r>
      <w:proofErr w:type="spellStart"/>
      <w:r w:rsidRPr="00221531">
        <w:rPr>
          <w:rFonts w:ascii="Verdana" w:hAnsi="Verdana"/>
          <w:sz w:val="20"/>
          <w:lang w:val="el-GR" w:eastAsia="el-GR"/>
        </w:rPr>
        <w:t>Challenges</w:t>
      </w:r>
      <w:proofErr w:type="spellEnd"/>
      <w:r w:rsidRPr="00221531">
        <w:rPr>
          <w:rFonts w:ascii="Verdana" w:hAnsi="Verdana"/>
          <w:sz w:val="20"/>
          <w:lang w:val="el-GR" w:eastAsia="el-GR"/>
        </w:rPr>
        <w:t>)</w:t>
      </w:r>
      <w:r w:rsidR="00133268">
        <w:rPr>
          <w:rFonts w:ascii="Verdana" w:hAnsi="Verdana"/>
          <w:sz w:val="20"/>
          <w:lang w:val="el-GR" w:eastAsia="el-GR"/>
        </w:rPr>
        <w:t>"</w:t>
      </w:r>
      <w:r w:rsidRPr="00221531">
        <w:rPr>
          <w:rFonts w:ascii="Verdana" w:hAnsi="Verdana"/>
          <w:sz w:val="20"/>
          <w:lang w:val="el-GR" w:eastAsia="el-GR"/>
        </w:rPr>
        <w:t>, με ερευνητικά έργα για την αντιμετώπιση σημαντικών κοινωνικών προκλήσεων, στους τομείς της υγείας (</w:t>
      </w:r>
      <w:r w:rsidR="00133268">
        <w:rPr>
          <w:rFonts w:ascii="Verdana" w:hAnsi="Verdana"/>
          <w:sz w:val="20"/>
          <w:lang w:val="el-GR" w:eastAsia="el-GR"/>
        </w:rPr>
        <w:t>"</w:t>
      </w:r>
      <w:r w:rsidRPr="00221531">
        <w:rPr>
          <w:rFonts w:ascii="Verdana" w:hAnsi="Verdana"/>
          <w:sz w:val="20"/>
          <w:lang w:val="el-GR" w:eastAsia="el-GR"/>
        </w:rPr>
        <w:t>Υγεία, δημογραφική μεταβολή και ευημερία</w:t>
      </w:r>
      <w:r w:rsidR="00133268">
        <w:rPr>
          <w:rFonts w:ascii="Verdana" w:hAnsi="Verdana"/>
          <w:sz w:val="20"/>
          <w:lang w:val="el-GR" w:eastAsia="el-GR"/>
        </w:rPr>
        <w:t>"</w:t>
      </w:r>
      <w:r w:rsidRPr="00221531">
        <w:rPr>
          <w:rFonts w:ascii="Verdana" w:hAnsi="Verdana"/>
          <w:sz w:val="20"/>
          <w:lang w:val="el-GR" w:eastAsia="el-GR"/>
        </w:rPr>
        <w:t xml:space="preserve"> 28,3 εκατ</w:t>
      </w:r>
      <w:r w:rsidR="00806190">
        <w:rPr>
          <w:rFonts w:ascii="Verdana" w:hAnsi="Verdana"/>
          <w:sz w:val="20"/>
          <w:lang w:val="el-GR" w:eastAsia="el-GR"/>
        </w:rPr>
        <w:t>.</w:t>
      </w:r>
      <w:r w:rsidRPr="00221531">
        <w:rPr>
          <w:rFonts w:ascii="Verdana" w:hAnsi="Verdana"/>
          <w:sz w:val="20"/>
          <w:lang w:val="el-GR" w:eastAsia="el-GR"/>
        </w:rPr>
        <w:t xml:space="preserve"> </w:t>
      </w:r>
      <w:r w:rsidR="00133268">
        <w:rPr>
          <w:rFonts w:ascii="Verdana" w:hAnsi="Verdana"/>
          <w:sz w:val="20"/>
          <w:lang w:val="el-GR" w:eastAsia="el-GR"/>
        </w:rPr>
        <w:t>ε</w:t>
      </w:r>
      <w:r w:rsidRPr="00221531">
        <w:rPr>
          <w:rFonts w:ascii="Verdana" w:hAnsi="Verdana"/>
          <w:sz w:val="20"/>
          <w:lang w:val="el-GR" w:eastAsia="el-GR"/>
        </w:rPr>
        <w:t>υρώ), της ασφάλειας (</w:t>
      </w:r>
      <w:r w:rsidR="00133268">
        <w:rPr>
          <w:rFonts w:ascii="Verdana" w:hAnsi="Verdana"/>
          <w:sz w:val="20"/>
          <w:lang w:val="el-GR" w:eastAsia="el-GR"/>
        </w:rPr>
        <w:t>"</w:t>
      </w:r>
      <w:r w:rsidRPr="00221531">
        <w:rPr>
          <w:rFonts w:ascii="Verdana" w:hAnsi="Verdana"/>
          <w:sz w:val="20"/>
          <w:lang w:val="el-GR" w:eastAsia="el-GR"/>
        </w:rPr>
        <w:t xml:space="preserve">Ασφαλείς κοινωνίες – Προστασία της ελευθερίας και της ασφάλειας της Ευρώπης και των πολιτών </w:t>
      </w:r>
      <w:r w:rsidR="00133268">
        <w:rPr>
          <w:rFonts w:ascii="Verdana" w:hAnsi="Verdana"/>
          <w:sz w:val="20"/>
          <w:lang w:val="el-GR" w:eastAsia="el-GR"/>
        </w:rPr>
        <w:t>της"</w:t>
      </w:r>
      <w:r w:rsidRPr="00221531">
        <w:rPr>
          <w:rFonts w:ascii="Verdana" w:hAnsi="Verdana"/>
          <w:sz w:val="20"/>
          <w:lang w:val="el-GR" w:eastAsia="el-GR"/>
        </w:rPr>
        <w:t xml:space="preserve">: 27,3 εκατ. </w:t>
      </w:r>
      <w:r w:rsidR="00133268">
        <w:rPr>
          <w:rFonts w:ascii="Verdana" w:hAnsi="Verdana"/>
          <w:sz w:val="20"/>
          <w:lang w:val="el-GR" w:eastAsia="el-GR"/>
        </w:rPr>
        <w:t>ε</w:t>
      </w:r>
      <w:r w:rsidRPr="00221531">
        <w:rPr>
          <w:rFonts w:ascii="Verdana" w:hAnsi="Verdana"/>
          <w:sz w:val="20"/>
          <w:lang w:val="el-GR" w:eastAsia="el-GR"/>
        </w:rPr>
        <w:t>υρώ), του περιβάλλοντος (</w:t>
      </w:r>
      <w:r w:rsidR="00133268">
        <w:rPr>
          <w:rFonts w:ascii="Verdana" w:hAnsi="Verdana"/>
          <w:sz w:val="20"/>
          <w:lang w:val="el-GR" w:eastAsia="el-GR"/>
        </w:rPr>
        <w:t>"</w:t>
      </w:r>
      <w:r w:rsidRPr="00221531">
        <w:rPr>
          <w:rFonts w:ascii="Verdana" w:hAnsi="Verdana"/>
          <w:sz w:val="20"/>
          <w:lang w:val="el-GR" w:eastAsia="el-GR"/>
        </w:rPr>
        <w:t>Δράση για το κλίμα, περιβάλλον, αποδοτικότητα πόρων και πρώτες ύλες</w:t>
      </w:r>
      <w:r w:rsidR="00133268">
        <w:rPr>
          <w:rFonts w:ascii="Verdana" w:hAnsi="Verdana"/>
          <w:sz w:val="20"/>
          <w:lang w:val="el-GR" w:eastAsia="el-GR"/>
        </w:rPr>
        <w:t>"</w:t>
      </w:r>
      <w:r w:rsidRPr="00221531">
        <w:rPr>
          <w:rFonts w:ascii="Verdana" w:hAnsi="Verdana"/>
          <w:sz w:val="20"/>
          <w:lang w:val="el-GR" w:eastAsia="el-GR"/>
        </w:rPr>
        <w:t xml:space="preserve">: 19,1 εκατ. </w:t>
      </w:r>
      <w:r w:rsidR="00133268">
        <w:rPr>
          <w:rFonts w:ascii="Verdana" w:hAnsi="Verdana"/>
          <w:sz w:val="20"/>
          <w:lang w:val="el-GR" w:eastAsia="el-GR"/>
        </w:rPr>
        <w:t>ε</w:t>
      </w:r>
      <w:r w:rsidRPr="00221531">
        <w:rPr>
          <w:rFonts w:ascii="Verdana" w:hAnsi="Verdana"/>
          <w:sz w:val="20"/>
          <w:lang w:val="el-GR" w:eastAsia="el-GR"/>
        </w:rPr>
        <w:t>υρώ), της ενέργειας (</w:t>
      </w:r>
      <w:r w:rsidR="00133268">
        <w:rPr>
          <w:rFonts w:ascii="Verdana" w:hAnsi="Verdana"/>
          <w:sz w:val="20"/>
          <w:lang w:val="el-GR" w:eastAsia="el-GR"/>
        </w:rPr>
        <w:t>"</w:t>
      </w:r>
      <w:r w:rsidRPr="00221531">
        <w:rPr>
          <w:rFonts w:ascii="Verdana" w:hAnsi="Verdana"/>
          <w:sz w:val="20"/>
          <w:lang w:val="el-GR" w:eastAsia="el-GR"/>
        </w:rPr>
        <w:t>Ασφαλής, καθαρή και αποδοτική ενέργεια</w:t>
      </w:r>
      <w:r w:rsidR="00133268">
        <w:rPr>
          <w:rFonts w:ascii="Verdana" w:hAnsi="Verdana"/>
          <w:sz w:val="20"/>
          <w:lang w:val="el-GR" w:eastAsia="el-GR"/>
        </w:rPr>
        <w:t>"</w:t>
      </w:r>
      <w:r w:rsidRPr="00221531">
        <w:rPr>
          <w:rFonts w:ascii="Verdana" w:hAnsi="Verdana"/>
          <w:sz w:val="20"/>
          <w:lang w:val="el-GR" w:eastAsia="el-GR"/>
        </w:rPr>
        <w:t xml:space="preserve">: 18,2 εκατ. </w:t>
      </w:r>
      <w:r w:rsidR="00133268">
        <w:rPr>
          <w:rFonts w:ascii="Verdana" w:hAnsi="Verdana"/>
          <w:sz w:val="20"/>
          <w:lang w:val="el-GR" w:eastAsia="el-GR"/>
        </w:rPr>
        <w:t>ε</w:t>
      </w:r>
      <w:r w:rsidRPr="00221531">
        <w:rPr>
          <w:rFonts w:ascii="Verdana" w:hAnsi="Verdana"/>
          <w:sz w:val="20"/>
          <w:lang w:val="el-GR" w:eastAsia="el-GR"/>
        </w:rPr>
        <w:t>υρώ) κ.</w:t>
      </w:r>
      <w:r w:rsidR="00133268">
        <w:rPr>
          <w:rFonts w:ascii="Verdana" w:hAnsi="Verdana"/>
          <w:sz w:val="20"/>
          <w:lang w:val="el-GR" w:eastAsia="el-GR"/>
        </w:rPr>
        <w:t>ά</w:t>
      </w:r>
      <w:r w:rsidRPr="00221531">
        <w:rPr>
          <w:rFonts w:ascii="Verdana" w:hAnsi="Verdana"/>
          <w:sz w:val="20"/>
          <w:lang w:val="el-GR" w:eastAsia="el-GR"/>
        </w:rPr>
        <w:t xml:space="preserve">.  </w:t>
      </w:r>
    </w:p>
    <w:p w:rsidR="00B74E5D" w:rsidRPr="0099788B" w:rsidRDefault="00B74E5D" w:rsidP="00921FD0">
      <w:pPr>
        <w:jc w:val="both"/>
        <w:rPr>
          <w:rFonts w:ascii="Verdana" w:hAnsi="Verdana"/>
          <w:sz w:val="20"/>
          <w:lang w:val="el-GR" w:eastAsia="el-GR"/>
        </w:rPr>
      </w:pPr>
    </w:p>
    <w:p w:rsidR="00B74E5D" w:rsidRDefault="003F5894" w:rsidP="00921FD0">
      <w:pPr>
        <w:jc w:val="both"/>
        <w:rPr>
          <w:rFonts w:ascii="Verdana" w:hAnsi="Verdana"/>
          <w:sz w:val="20"/>
          <w:lang w:val="el-GR" w:eastAsia="el-GR"/>
        </w:rPr>
      </w:pPr>
      <w:r>
        <w:rPr>
          <w:rFonts w:ascii="Verdana" w:hAnsi="Verdana"/>
          <w:sz w:val="20"/>
          <w:lang w:val="el-GR" w:eastAsia="el-GR"/>
        </w:rPr>
        <w:t>Μ</w:t>
      </w:r>
      <w:r w:rsidR="00573D76">
        <w:rPr>
          <w:rFonts w:ascii="Verdana" w:hAnsi="Verdana"/>
          <w:sz w:val="20"/>
          <w:lang w:val="el-GR" w:eastAsia="el-GR"/>
        </w:rPr>
        <w:t xml:space="preserve">εγάλη ελληνική συμμετοχή </w:t>
      </w:r>
      <w:r>
        <w:rPr>
          <w:rFonts w:ascii="Verdana" w:hAnsi="Verdana"/>
          <w:sz w:val="20"/>
          <w:lang w:val="el-GR" w:eastAsia="el-GR"/>
        </w:rPr>
        <w:t xml:space="preserve">(περίπου το 30% </w:t>
      </w:r>
      <w:r w:rsidRPr="003F5894">
        <w:rPr>
          <w:rFonts w:ascii="Verdana" w:hAnsi="Verdana"/>
          <w:sz w:val="20"/>
          <w:lang w:val="el-GR" w:eastAsia="el-GR"/>
        </w:rPr>
        <w:t>των ελληνικών συμμετοχών και της κοινοτικής χρηματοδότησης</w:t>
      </w:r>
      <w:r>
        <w:rPr>
          <w:rFonts w:ascii="Verdana" w:hAnsi="Verdana"/>
          <w:sz w:val="20"/>
          <w:lang w:val="el-GR" w:eastAsia="el-GR"/>
        </w:rPr>
        <w:t>)</w:t>
      </w:r>
      <w:r w:rsidRPr="003F5894">
        <w:rPr>
          <w:rFonts w:ascii="Verdana" w:hAnsi="Verdana"/>
          <w:sz w:val="20"/>
          <w:lang w:val="el-GR" w:eastAsia="el-GR"/>
        </w:rPr>
        <w:t xml:space="preserve"> </w:t>
      </w:r>
      <w:r w:rsidR="00573D76">
        <w:rPr>
          <w:rFonts w:ascii="Verdana" w:hAnsi="Verdana"/>
          <w:sz w:val="20"/>
          <w:lang w:val="el-GR" w:eastAsia="el-GR"/>
        </w:rPr>
        <w:t xml:space="preserve">συγκεντρώνει </w:t>
      </w:r>
      <w:r>
        <w:rPr>
          <w:rFonts w:ascii="Verdana" w:hAnsi="Verdana"/>
          <w:sz w:val="20"/>
          <w:lang w:val="el-GR" w:eastAsia="el-GR"/>
        </w:rPr>
        <w:t xml:space="preserve">επίσης </w:t>
      </w:r>
      <w:r w:rsidR="00573D76">
        <w:rPr>
          <w:rFonts w:ascii="Verdana" w:hAnsi="Verdana"/>
          <w:sz w:val="20"/>
          <w:lang w:val="el-GR" w:eastAsia="el-GR"/>
        </w:rPr>
        <w:t>ο άξονας</w:t>
      </w:r>
      <w:r w:rsidR="00133268">
        <w:rPr>
          <w:rFonts w:ascii="Verdana" w:hAnsi="Verdana"/>
          <w:sz w:val="20"/>
          <w:lang w:val="el-GR" w:eastAsia="el-GR"/>
        </w:rPr>
        <w:t xml:space="preserve"> "</w:t>
      </w:r>
      <w:r w:rsidR="00573D76">
        <w:rPr>
          <w:rFonts w:ascii="Verdana" w:hAnsi="Verdana"/>
          <w:sz w:val="20"/>
          <w:lang w:val="el-GR" w:eastAsia="el-GR"/>
        </w:rPr>
        <w:t xml:space="preserve">Βιομηχανική Υπεροχή </w:t>
      </w:r>
      <w:r w:rsidR="00573D76" w:rsidRPr="002F7C1A">
        <w:rPr>
          <w:rFonts w:ascii="Verdana" w:hAnsi="Verdana"/>
          <w:sz w:val="20"/>
          <w:lang w:val="el-GR" w:eastAsia="el-GR"/>
        </w:rPr>
        <w:t>(</w:t>
      </w:r>
      <w:proofErr w:type="spellStart"/>
      <w:r w:rsidR="00573D76" w:rsidRPr="002F7C1A">
        <w:rPr>
          <w:rFonts w:ascii="Verdana" w:hAnsi="Verdana"/>
          <w:sz w:val="20"/>
          <w:lang w:val="el-GR" w:eastAsia="el-GR"/>
        </w:rPr>
        <w:t>Ιndustrial</w:t>
      </w:r>
      <w:proofErr w:type="spellEnd"/>
      <w:r w:rsidR="00573D76" w:rsidRPr="002F7C1A">
        <w:rPr>
          <w:rFonts w:ascii="Verdana" w:hAnsi="Verdana"/>
          <w:sz w:val="20"/>
          <w:lang w:val="el-GR" w:eastAsia="el-GR"/>
        </w:rPr>
        <w:t xml:space="preserve"> </w:t>
      </w:r>
      <w:proofErr w:type="spellStart"/>
      <w:r w:rsidR="00573D76" w:rsidRPr="002F7C1A">
        <w:rPr>
          <w:rFonts w:ascii="Verdana" w:hAnsi="Verdana"/>
          <w:sz w:val="20"/>
          <w:lang w:val="el-GR" w:eastAsia="el-GR"/>
        </w:rPr>
        <w:t>Leadership</w:t>
      </w:r>
      <w:proofErr w:type="spellEnd"/>
      <w:r w:rsidR="00573D76" w:rsidRPr="002F7C1A">
        <w:rPr>
          <w:rFonts w:ascii="Verdana" w:hAnsi="Verdana"/>
          <w:sz w:val="20"/>
          <w:lang w:val="el-GR" w:eastAsia="el-GR"/>
        </w:rPr>
        <w:t>)</w:t>
      </w:r>
      <w:r w:rsidR="00133268">
        <w:rPr>
          <w:rFonts w:ascii="Verdana" w:hAnsi="Verdana"/>
          <w:sz w:val="20"/>
          <w:lang w:val="el-GR" w:eastAsia="el-GR"/>
        </w:rPr>
        <w:t>"</w:t>
      </w:r>
      <w:r w:rsidR="00573D76">
        <w:rPr>
          <w:rFonts w:ascii="Verdana" w:hAnsi="Verdana"/>
          <w:sz w:val="20"/>
          <w:lang w:val="el-GR" w:eastAsia="el-GR"/>
        </w:rPr>
        <w:t xml:space="preserve">, στον οποίο περιλαμβάνεται η έρευνα στον τομέα των ΤΠΕ, </w:t>
      </w:r>
      <w:r w:rsidR="00573D76">
        <w:rPr>
          <w:rFonts w:ascii="Verdana" w:hAnsi="Verdana"/>
          <w:sz w:val="20"/>
          <w:lang w:val="el-GR" w:eastAsia="el-GR"/>
        </w:rPr>
        <w:lastRenderedPageBreak/>
        <w:t xml:space="preserve">όπου </w:t>
      </w:r>
      <w:r w:rsidR="00133268">
        <w:rPr>
          <w:rFonts w:ascii="Verdana" w:hAnsi="Verdana"/>
          <w:sz w:val="20"/>
          <w:lang w:val="el-GR" w:eastAsia="el-GR"/>
        </w:rPr>
        <w:t xml:space="preserve">διαχρονικά, </w:t>
      </w:r>
      <w:r w:rsidR="00573D76">
        <w:rPr>
          <w:rFonts w:ascii="Verdana" w:hAnsi="Verdana"/>
          <w:sz w:val="20"/>
          <w:lang w:val="el-GR" w:eastAsia="el-GR"/>
        </w:rPr>
        <w:t>η Ελλάδα έχει σημαντικές επιδόσεις</w:t>
      </w:r>
      <w:r w:rsidR="00E665D7">
        <w:rPr>
          <w:rFonts w:ascii="Verdana" w:hAnsi="Verdana"/>
          <w:sz w:val="20"/>
          <w:lang w:val="el-GR" w:eastAsia="el-GR"/>
        </w:rPr>
        <w:t xml:space="preserve"> (</w:t>
      </w:r>
      <w:r w:rsidR="00133268">
        <w:rPr>
          <w:rFonts w:ascii="Verdana" w:hAnsi="Verdana"/>
          <w:sz w:val="20"/>
          <w:lang w:val="el-GR" w:eastAsia="el-GR"/>
        </w:rPr>
        <w:t>"</w:t>
      </w:r>
      <w:r w:rsidR="0099788B" w:rsidRPr="0099788B">
        <w:rPr>
          <w:rFonts w:ascii="Verdana" w:hAnsi="Verdana"/>
          <w:sz w:val="20"/>
          <w:lang w:val="el-GR" w:eastAsia="el-GR"/>
        </w:rPr>
        <w:t>Τεχνολογί</w:t>
      </w:r>
      <w:r w:rsidR="0099788B">
        <w:rPr>
          <w:rFonts w:ascii="Verdana" w:hAnsi="Verdana"/>
          <w:sz w:val="20"/>
          <w:lang w:val="el-GR" w:eastAsia="el-GR"/>
        </w:rPr>
        <w:t>ες Πληροφορίας και Επικοινωνιών</w:t>
      </w:r>
      <w:r w:rsidR="00133268">
        <w:rPr>
          <w:rFonts w:ascii="Verdana" w:hAnsi="Verdana"/>
          <w:sz w:val="20"/>
          <w:lang w:val="el-GR" w:eastAsia="el-GR"/>
        </w:rPr>
        <w:t>"</w:t>
      </w:r>
      <w:r w:rsidR="00F12FCA">
        <w:rPr>
          <w:rFonts w:ascii="Verdana" w:hAnsi="Verdana"/>
          <w:sz w:val="20"/>
          <w:lang w:val="el-GR" w:eastAsia="el-GR"/>
        </w:rPr>
        <w:t>:</w:t>
      </w:r>
      <w:r w:rsidR="00D01162" w:rsidRPr="00D01162">
        <w:rPr>
          <w:rFonts w:ascii="Verdana" w:hAnsi="Verdana"/>
          <w:sz w:val="20"/>
          <w:lang w:val="el-GR" w:eastAsia="el-GR"/>
        </w:rPr>
        <w:t xml:space="preserve"> 65,1 </w:t>
      </w:r>
      <w:r w:rsidR="00D01162">
        <w:rPr>
          <w:rFonts w:ascii="Verdana" w:hAnsi="Verdana"/>
          <w:sz w:val="20"/>
          <w:lang w:val="el-GR" w:eastAsia="el-GR"/>
        </w:rPr>
        <w:t xml:space="preserve">εκατ. </w:t>
      </w:r>
      <w:r w:rsidR="00133268">
        <w:rPr>
          <w:rFonts w:ascii="Verdana" w:hAnsi="Verdana"/>
          <w:sz w:val="20"/>
          <w:lang w:val="el-GR" w:eastAsia="el-GR"/>
        </w:rPr>
        <w:t>ε</w:t>
      </w:r>
      <w:r w:rsidR="00D01162">
        <w:rPr>
          <w:rFonts w:ascii="Verdana" w:hAnsi="Verdana"/>
          <w:sz w:val="20"/>
          <w:lang w:val="el-GR" w:eastAsia="el-GR"/>
        </w:rPr>
        <w:t>υρώ)</w:t>
      </w:r>
      <w:r w:rsidR="00E665D7">
        <w:rPr>
          <w:rFonts w:ascii="Verdana" w:hAnsi="Verdana"/>
          <w:sz w:val="20"/>
          <w:lang w:val="el-GR" w:eastAsia="el-GR"/>
        </w:rPr>
        <w:t xml:space="preserve">. </w:t>
      </w:r>
      <w:r w:rsidR="00573D76">
        <w:rPr>
          <w:rFonts w:ascii="Verdana" w:hAnsi="Verdana"/>
          <w:sz w:val="20"/>
          <w:lang w:val="el-GR" w:eastAsia="el-GR"/>
        </w:rPr>
        <w:t xml:space="preserve">  </w:t>
      </w:r>
    </w:p>
    <w:p w:rsidR="00B74E5D" w:rsidRPr="005A3F77" w:rsidRDefault="00B74E5D" w:rsidP="00921FD0">
      <w:pPr>
        <w:jc w:val="both"/>
        <w:rPr>
          <w:rFonts w:ascii="Verdana" w:hAnsi="Verdana"/>
          <w:sz w:val="16"/>
          <w:lang w:val="el-GR" w:eastAsia="el-GR"/>
        </w:rPr>
      </w:pPr>
    </w:p>
    <w:p w:rsidR="00B74E5D" w:rsidRPr="003B5FA5" w:rsidRDefault="003F5894" w:rsidP="00921FD0">
      <w:pPr>
        <w:jc w:val="both"/>
        <w:rPr>
          <w:rFonts w:ascii="Verdana" w:hAnsi="Verdana"/>
          <w:sz w:val="20"/>
          <w:lang w:val="el-GR" w:eastAsia="el-GR"/>
        </w:rPr>
      </w:pPr>
      <w:r>
        <w:rPr>
          <w:rFonts w:ascii="Verdana" w:hAnsi="Verdana"/>
          <w:sz w:val="20"/>
          <w:lang w:val="el-GR" w:eastAsia="el-GR"/>
        </w:rPr>
        <w:t xml:space="preserve">Στον άξονα της </w:t>
      </w:r>
      <w:r w:rsidR="00834A73">
        <w:rPr>
          <w:rFonts w:ascii="Verdana" w:hAnsi="Verdana"/>
          <w:sz w:val="20"/>
          <w:lang w:val="el-GR" w:eastAsia="el-GR"/>
        </w:rPr>
        <w:t>"</w:t>
      </w:r>
      <w:r>
        <w:rPr>
          <w:rFonts w:ascii="Verdana" w:hAnsi="Verdana"/>
          <w:sz w:val="20"/>
          <w:lang w:val="el-GR" w:eastAsia="el-GR"/>
        </w:rPr>
        <w:t xml:space="preserve">Επιστημονικής </w:t>
      </w:r>
      <w:r w:rsidR="00834A73">
        <w:rPr>
          <w:rFonts w:ascii="Verdana" w:hAnsi="Verdana"/>
          <w:sz w:val="20"/>
          <w:lang w:val="el-GR" w:eastAsia="el-GR"/>
        </w:rPr>
        <w:t>Α</w:t>
      </w:r>
      <w:r>
        <w:rPr>
          <w:rFonts w:ascii="Verdana" w:hAnsi="Verdana"/>
          <w:sz w:val="20"/>
          <w:lang w:val="el-GR" w:eastAsia="el-GR"/>
        </w:rPr>
        <w:t>ριστείας (</w:t>
      </w:r>
      <w:proofErr w:type="spellStart"/>
      <w:r w:rsidRPr="003F5894">
        <w:rPr>
          <w:rFonts w:ascii="Verdana" w:hAnsi="Verdana"/>
          <w:sz w:val="20"/>
          <w:lang w:val="el-GR" w:eastAsia="el-GR"/>
        </w:rPr>
        <w:t>Excellent</w:t>
      </w:r>
      <w:proofErr w:type="spellEnd"/>
      <w:r w:rsidRPr="003F5894">
        <w:rPr>
          <w:rFonts w:ascii="Verdana" w:hAnsi="Verdana"/>
          <w:sz w:val="20"/>
          <w:lang w:val="el-GR" w:eastAsia="el-GR"/>
        </w:rPr>
        <w:t xml:space="preserve"> </w:t>
      </w:r>
      <w:proofErr w:type="spellStart"/>
      <w:r w:rsidRPr="003F5894">
        <w:rPr>
          <w:rFonts w:ascii="Verdana" w:hAnsi="Verdana"/>
          <w:sz w:val="20"/>
          <w:lang w:val="el-GR" w:eastAsia="el-GR"/>
        </w:rPr>
        <w:t>Science</w:t>
      </w:r>
      <w:proofErr w:type="spellEnd"/>
      <w:r>
        <w:rPr>
          <w:rFonts w:ascii="Verdana" w:hAnsi="Verdana"/>
          <w:sz w:val="20"/>
          <w:lang w:val="el-GR" w:eastAsia="el-GR"/>
        </w:rPr>
        <w:t>)</w:t>
      </w:r>
      <w:r w:rsidR="00834A73">
        <w:rPr>
          <w:rFonts w:ascii="Verdana" w:hAnsi="Verdana"/>
          <w:sz w:val="20"/>
          <w:lang w:val="el-GR" w:eastAsia="el-GR"/>
        </w:rPr>
        <w:t>"</w:t>
      </w:r>
      <w:r>
        <w:rPr>
          <w:rFonts w:ascii="Verdana" w:hAnsi="Verdana"/>
          <w:sz w:val="20"/>
          <w:lang w:val="el-GR" w:eastAsia="el-GR"/>
        </w:rPr>
        <w:t xml:space="preserve"> ανήκει περίπου το 20% των ελληνικών συμμετοχών και της κοινοτικής χρηματοδότησης, με σημαντικότερα επιμέρους προγράμματα τις δράσεις</w:t>
      </w:r>
      <w:r w:rsidR="003B5FA5">
        <w:rPr>
          <w:rFonts w:ascii="Verdana" w:hAnsi="Verdana"/>
          <w:sz w:val="20"/>
          <w:lang w:val="el-GR" w:eastAsia="el-GR"/>
        </w:rPr>
        <w:t xml:space="preserve"> για την κινητικότητα των ερευνητών (</w:t>
      </w:r>
      <w:r w:rsidR="00016E3D">
        <w:rPr>
          <w:rFonts w:ascii="Verdana" w:hAnsi="Verdana"/>
          <w:sz w:val="20"/>
          <w:lang w:val="el-GR" w:eastAsia="el-GR"/>
        </w:rPr>
        <w:t xml:space="preserve">"Δράσεις </w:t>
      </w:r>
      <w:proofErr w:type="spellStart"/>
      <w:r w:rsidR="003B5FA5" w:rsidRPr="003B5FA5">
        <w:rPr>
          <w:rFonts w:ascii="Verdana" w:hAnsi="Verdana"/>
          <w:sz w:val="20"/>
          <w:lang w:val="el-GR" w:eastAsia="el-GR"/>
        </w:rPr>
        <w:t>Marie</w:t>
      </w:r>
      <w:proofErr w:type="spellEnd"/>
      <w:r w:rsidR="00CE7716">
        <w:rPr>
          <w:rFonts w:ascii="Verdana" w:hAnsi="Verdana"/>
          <w:sz w:val="20"/>
          <w:lang w:val="en-US" w:eastAsia="el-GR"/>
        </w:rPr>
        <w:t xml:space="preserve"> </w:t>
      </w:r>
      <w:proofErr w:type="spellStart"/>
      <w:r w:rsidR="003B5FA5" w:rsidRPr="003B5FA5">
        <w:rPr>
          <w:rFonts w:ascii="Verdana" w:hAnsi="Verdana"/>
          <w:sz w:val="20"/>
          <w:lang w:val="el-GR" w:eastAsia="el-GR"/>
        </w:rPr>
        <w:t>Sklodowska</w:t>
      </w:r>
      <w:proofErr w:type="spellEnd"/>
      <w:r w:rsidR="00CE7716">
        <w:rPr>
          <w:rFonts w:ascii="Verdana" w:hAnsi="Verdana"/>
          <w:sz w:val="20"/>
          <w:lang w:val="en-US" w:eastAsia="el-GR"/>
        </w:rPr>
        <w:t>-</w:t>
      </w:r>
      <w:bookmarkStart w:id="0" w:name="_GoBack"/>
      <w:bookmarkEnd w:id="0"/>
      <w:proofErr w:type="spellStart"/>
      <w:r w:rsidR="003B5FA5" w:rsidRPr="003B5FA5">
        <w:rPr>
          <w:rFonts w:ascii="Verdana" w:hAnsi="Verdana"/>
          <w:sz w:val="20"/>
          <w:lang w:val="el-GR" w:eastAsia="el-GR"/>
        </w:rPr>
        <w:t>Curie</w:t>
      </w:r>
      <w:proofErr w:type="spellEnd"/>
      <w:r w:rsidR="00016E3D">
        <w:rPr>
          <w:rFonts w:ascii="Verdana" w:hAnsi="Verdana"/>
          <w:sz w:val="20"/>
          <w:lang w:val="el-GR" w:eastAsia="el-GR"/>
        </w:rPr>
        <w:t>"</w:t>
      </w:r>
      <w:r w:rsidR="00F12FCA" w:rsidRPr="00F12FCA">
        <w:rPr>
          <w:rFonts w:ascii="Verdana" w:hAnsi="Verdana"/>
          <w:sz w:val="20"/>
          <w:lang w:val="el-GR" w:eastAsia="el-GR"/>
        </w:rPr>
        <w:t>:</w:t>
      </w:r>
      <w:r w:rsidR="003B5FA5">
        <w:rPr>
          <w:rFonts w:ascii="Verdana" w:hAnsi="Verdana"/>
          <w:sz w:val="20"/>
          <w:lang w:val="el-GR" w:eastAsia="el-GR"/>
        </w:rPr>
        <w:t xml:space="preserve"> </w:t>
      </w:r>
      <w:r w:rsidR="003B5FA5" w:rsidRPr="003B5FA5">
        <w:rPr>
          <w:rFonts w:ascii="Verdana" w:hAnsi="Verdana"/>
          <w:sz w:val="20"/>
          <w:lang w:val="el-GR" w:eastAsia="el-GR"/>
        </w:rPr>
        <w:t xml:space="preserve">29,0 </w:t>
      </w:r>
      <w:r w:rsidR="003B5FA5">
        <w:rPr>
          <w:rFonts w:ascii="Verdana" w:hAnsi="Verdana"/>
          <w:sz w:val="20"/>
          <w:lang w:val="el-GR" w:eastAsia="el-GR"/>
        </w:rPr>
        <w:t xml:space="preserve">εκατ. </w:t>
      </w:r>
      <w:r w:rsidR="00016E3D">
        <w:rPr>
          <w:rFonts w:ascii="Verdana" w:hAnsi="Verdana"/>
          <w:sz w:val="20"/>
          <w:lang w:val="el-GR" w:eastAsia="el-GR"/>
        </w:rPr>
        <w:t>ε</w:t>
      </w:r>
      <w:r w:rsidR="003B5FA5">
        <w:rPr>
          <w:rFonts w:ascii="Verdana" w:hAnsi="Verdana"/>
          <w:sz w:val="20"/>
          <w:lang w:val="el-GR" w:eastAsia="el-GR"/>
        </w:rPr>
        <w:t>υρώ</w:t>
      </w:r>
      <w:r w:rsidR="003B5FA5" w:rsidRPr="003B5FA5">
        <w:rPr>
          <w:rFonts w:ascii="Verdana" w:hAnsi="Verdana"/>
          <w:sz w:val="20"/>
          <w:lang w:val="el-GR" w:eastAsia="el-GR"/>
        </w:rPr>
        <w:t xml:space="preserve">), </w:t>
      </w:r>
      <w:r w:rsidR="003B5FA5">
        <w:rPr>
          <w:rFonts w:ascii="Verdana" w:hAnsi="Verdana"/>
          <w:sz w:val="20"/>
          <w:lang w:val="el-GR" w:eastAsia="el-GR"/>
        </w:rPr>
        <w:t>τη δημιουργία και χρηματοδότηση ερευνητικών υποδομών (</w:t>
      </w:r>
      <w:r w:rsidR="00016E3D">
        <w:rPr>
          <w:rFonts w:ascii="Verdana" w:hAnsi="Verdana"/>
          <w:sz w:val="20"/>
          <w:lang w:val="el-GR" w:eastAsia="el-GR"/>
        </w:rPr>
        <w:t>"</w:t>
      </w:r>
      <w:r w:rsidR="0099788B">
        <w:rPr>
          <w:rFonts w:ascii="Verdana" w:hAnsi="Verdana"/>
          <w:sz w:val="20"/>
          <w:lang w:val="el-GR" w:eastAsia="el-GR"/>
        </w:rPr>
        <w:t>Ερευνητικές Υποδομές</w:t>
      </w:r>
      <w:r w:rsidR="00016E3D">
        <w:rPr>
          <w:rFonts w:ascii="Verdana" w:hAnsi="Verdana"/>
          <w:sz w:val="20"/>
          <w:lang w:val="el-GR" w:eastAsia="el-GR"/>
        </w:rPr>
        <w:t>"</w:t>
      </w:r>
      <w:r w:rsidR="00F12FCA" w:rsidRPr="00F12FCA">
        <w:rPr>
          <w:rFonts w:ascii="Verdana" w:hAnsi="Verdana"/>
          <w:sz w:val="20"/>
          <w:lang w:val="el-GR" w:eastAsia="el-GR"/>
        </w:rPr>
        <w:t>:</w:t>
      </w:r>
      <w:r w:rsidR="003B5FA5" w:rsidRPr="003B5FA5">
        <w:rPr>
          <w:rFonts w:ascii="Verdana" w:hAnsi="Verdana"/>
          <w:sz w:val="20"/>
          <w:lang w:val="el-GR" w:eastAsia="el-GR"/>
        </w:rPr>
        <w:t xml:space="preserve"> </w:t>
      </w:r>
      <w:r w:rsidR="003B5FA5">
        <w:rPr>
          <w:rFonts w:ascii="Verdana" w:hAnsi="Verdana"/>
          <w:sz w:val="20"/>
          <w:lang w:val="el-GR" w:eastAsia="el-GR"/>
        </w:rPr>
        <w:t xml:space="preserve">20,6 εκατ. </w:t>
      </w:r>
      <w:r w:rsidR="00016E3D">
        <w:rPr>
          <w:rFonts w:ascii="Verdana" w:hAnsi="Verdana"/>
          <w:sz w:val="20"/>
          <w:lang w:val="el-GR" w:eastAsia="el-GR"/>
        </w:rPr>
        <w:t>ε</w:t>
      </w:r>
      <w:r w:rsidR="003B5FA5">
        <w:rPr>
          <w:rFonts w:ascii="Verdana" w:hAnsi="Verdana"/>
          <w:sz w:val="20"/>
          <w:lang w:val="el-GR" w:eastAsia="el-GR"/>
        </w:rPr>
        <w:t>υρώ), την έρευνα σε αναδυόμενες τεχνολογίες (</w:t>
      </w:r>
      <w:r w:rsidR="00016E3D">
        <w:rPr>
          <w:rFonts w:ascii="Verdana" w:hAnsi="Verdana"/>
          <w:sz w:val="20"/>
          <w:lang w:val="el-GR" w:eastAsia="el-GR"/>
        </w:rPr>
        <w:t>"</w:t>
      </w:r>
      <w:r w:rsidR="0099788B" w:rsidRPr="0099788B">
        <w:rPr>
          <w:rFonts w:ascii="Verdana" w:hAnsi="Verdana"/>
          <w:sz w:val="20"/>
          <w:lang w:val="el-GR" w:eastAsia="el-GR"/>
        </w:rPr>
        <w:t>Μελλοντικές και Αναδυόμενες Τεχνολογίες (</w:t>
      </w:r>
      <w:r w:rsidR="0099788B" w:rsidRPr="0099788B">
        <w:rPr>
          <w:rFonts w:ascii="Verdana" w:hAnsi="Verdana"/>
          <w:sz w:val="20"/>
          <w:lang w:val="en-US" w:eastAsia="el-GR"/>
        </w:rPr>
        <w:t>FET</w:t>
      </w:r>
      <w:r w:rsidR="0099788B" w:rsidRPr="0099788B">
        <w:rPr>
          <w:rFonts w:ascii="Verdana" w:hAnsi="Verdana"/>
          <w:sz w:val="20"/>
          <w:lang w:val="el-GR" w:eastAsia="el-GR"/>
        </w:rPr>
        <w:t>)</w:t>
      </w:r>
      <w:r w:rsidR="00016E3D">
        <w:rPr>
          <w:rFonts w:ascii="Verdana" w:hAnsi="Verdana"/>
          <w:sz w:val="20"/>
          <w:lang w:val="el-GR" w:eastAsia="el-GR"/>
        </w:rPr>
        <w:t>"</w:t>
      </w:r>
      <w:r w:rsidR="00F12FCA" w:rsidRPr="00F12FCA">
        <w:rPr>
          <w:rFonts w:ascii="Verdana" w:hAnsi="Verdana"/>
          <w:sz w:val="20"/>
          <w:lang w:val="el-GR" w:eastAsia="el-GR"/>
        </w:rPr>
        <w:t>:</w:t>
      </w:r>
      <w:r w:rsidR="003B5FA5" w:rsidRPr="003B5FA5">
        <w:rPr>
          <w:rFonts w:ascii="Verdana" w:hAnsi="Verdana"/>
          <w:sz w:val="20"/>
          <w:lang w:val="el-GR" w:eastAsia="el-GR"/>
        </w:rPr>
        <w:t xml:space="preserve"> </w:t>
      </w:r>
      <w:r w:rsidR="00DF062A">
        <w:rPr>
          <w:rFonts w:ascii="Verdana" w:hAnsi="Verdana"/>
          <w:sz w:val="20"/>
          <w:lang w:val="el-GR" w:eastAsia="el-GR"/>
        </w:rPr>
        <w:t>10,7</w:t>
      </w:r>
      <w:r w:rsidR="003B5FA5" w:rsidRPr="003B5FA5">
        <w:rPr>
          <w:rFonts w:ascii="Verdana" w:hAnsi="Verdana"/>
          <w:sz w:val="20"/>
          <w:lang w:val="el-GR" w:eastAsia="el-GR"/>
        </w:rPr>
        <w:t xml:space="preserve"> </w:t>
      </w:r>
      <w:r w:rsidR="003B5FA5">
        <w:rPr>
          <w:rFonts w:ascii="Verdana" w:hAnsi="Verdana"/>
          <w:sz w:val="20"/>
          <w:lang w:val="el-GR" w:eastAsia="el-GR"/>
        </w:rPr>
        <w:t xml:space="preserve">εκατ. </w:t>
      </w:r>
      <w:r w:rsidR="00016E3D">
        <w:rPr>
          <w:rFonts w:ascii="Verdana" w:hAnsi="Verdana"/>
          <w:sz w:val="20"/>
          <w:lang w:val="el-GR" w:eastAsia="el-GR"/>
        </w:rPr>
        <w:t>ε</w:t>
      </w:r>
      <w:r w:rsidR="003B5FA5">
        <w:rPr>
          <w:rFonts w:ascii="Verdana" w:hAnsi="Verdana"/>
          <w:sz w:val="20"/>
          <w:lang w:val="el-GR" w:eastAsia="el-GR"/>
        </w:rPr>
        <w:t>υρώ) και την έρευνα που χρηματοδοτεί το Ευρωπαϊκό Συμβούλιο Έρευνας (</w:t>
      </w:r>
      <w:r w:rsidR="003B5FA5" w:rsidRPr="003B5FA5">
        <w:rPr>
          <w:rFonts w:ascii="Verdana" w:hAnsi="Verdana"/>
          <w:sz w:val="20"/>
          <w:lang w:val="el-GR" w:eastAsia="el-GR"/>
        </w:rPr>
        <w:t>European Research Council (ERC)</w:t>
      </w:r>
      <w:r w:rsidR="00F12FCA" w:rsidRPr="00F12FCA">
        <w:rPr>
          <w:rFonts w:ascii="Verdana" w:hAnsi="Verdana"/>
          <w:sz w:val="20"/>
          <w:lang w:val="el-GR" w:eastAsia="el-GR"/>
        </w:rPr>
        <w:t>:</w:t>
      </w:r>
      <w:r w:rsidR="003B5FA5">
        <w:rPr>
          <w:rFonts w:ascii="Verdana" w:hAnsi="Verdana"/>
          <w:sz w:val="20"/>
          <w:lang w:val="el-GR" w:eastAsia="el-GR"/>
        </w:rPr>
        <w:t xml:space="preserve"> 4,6 εκατ. </w:t>
      </w:r>
      <w:r w:rsidR="00016E3D">
        <w:rPr>
          <w:rFonts w:ascii="Verdana" w:hAnsi="Verdana"/>
          <w:sz w:val="20"/>
          <w:lang w:val="el-GR" w:eastAsia="el-GR"/>
        </w:rPr>
        <w:t>ευρώ)</w:t>
      </w:r>
      <w:r w:rsidR="003B5FA5">
        <w:rPr>
          <w:rFonts w:ascii="Verdana" w:hAnsi="Verdana"/>
          <w:sz w:val="20"/>
          <w:lang w:val="el-GR" w:eastAsia="el-GR"/>
        </w:rPr>
        <w:t xml:space="preserve">.   </w:t>
      </w:r>
    </w:p>
    <w:p w:rsidR="00CC6025" w:rsidRPr="005A3F77" w:rsidRDefault="00CC6025" w:rsidP="00921FD0">
      <w:pPr>
        <w:jc w:val="both"/>
        <w:rPr>
          <w:rFonts w:ascii="Verdana" w:hAnsi="Verdana"/>
          <w:sz w:val="16"/>
          <w:lang w:val="el-GR" w:eastAsia="el-GR"/>
        </w:rPr>
      </w:pPr>
    </w:p>
    <w:p w:rsidR="00CC6025" w:rsidRPr="003B5FA5" w:rsidRDefault="0099788B" w:rsidP="00921FD0">
      <w:pPr>
        <w:jc w:val="both"/>
        <w:rPr>
          <w:rFonts w:ascii="Verdana" w:hAnsi="Verdana"/>
          <w:sz w:val="20"/>
          <w:lang w:val="el-GR" w:eastAsia="el-GR"/>
        </w:rPr>
      </w:pPr>
      <w:r>
        <w:rPr>
          <w:rFonts w:ascii="Verdana" w:hAnsi="Verdana"/>
          <w:sz w:val="20"/>
          <w:lang w:val="el-GR" w:eastAsia="el-GR"/>
        </w:rPr>
        <w:t>Τέλος, η κοινοτική χρηματοδότηση των ελ</w:t>
      </w:r>
      <w:r w:rsidR="00016E3D">
        <w:rPr>
          <w:rFonts w:ascii="Verdana" w:hAnsi="Verdana"/>
          <w:sz w:val="20"/>
          <w:lang w:val="el-GR" w:eastAsia="el-GR"/>
        </w:rPr>
        <w:t>ληνικών εγκεκριμένων έργων στο πρόγραμμα "</w:t>
      </w:r>
      <w:r>
        <w:rPr>
          <w:rFonts w:ascii="Verdana" w:hAnsi="Verdana"/>
          <w:sz w:val="20"/>
          <w:lang w:val="el-GR" w:eastAsia="el-GR"/>
        </w:rPr>
        <w:t>Ε</w:t>
      </w:r>
      <w:r w:rsidRPr="0099788B">
        <w:rPr>
          <w:rFonts w:ascii="Verdana" w:hAnsi="Verdana"/>
          <w:sz w:val="20"/>
          <w:lang w:val="el-GR" w:eastAsia="el-GR"/>
        </w:rPr>
        <w:t>πιστήμη στην κοινωνία και μαζί με την κοινωνία</w:t>
      </w:r>
      <w:r w:rsidR="00016E3D">
        <w:rPr>
          <w:rFonts w:ascii="Verdana" w:hAnsi="Verdana"/>
          <w:sz w:val="20"/>
          <w:lang w:val="el-GR" w:eastAsia="el-GR"/>
        </w:rPr>
        <w:t>"</w:t>
      </w:r>
      <w:r>
        <w:rPr>
          <w:rFonts w:ascii="Verdana" w:hAnsi="Verdana"/>
          <w:sz w:val="20"/>
          <w:lang w:val="el-GR" w:eastAsia="el-GR"/>
        </w:rPr>
        <w:t xml:space="preserve"> (</w:t>
      </w:r>
      <w:r w:rsidR="00016E3D">
        <w:rPr>
          <w:rFonts w:ascii="Verdana" w:hAnsi="Verdana"/>
          <w:sz w:val="20"/>
          <w:lang w:val="el-GR" w:eastAsia="el-GR"/>
        </w:rPr>
        <w:t>"</w:t>
      </w:r>
      <w:r>
        <w:rPr>
          <w:rFonts w:ascii="Verdana" w:hAnsi="Verdana"/>
          <w:sz w:val="20"/>
          <w:lang w:val="en-US" w:eastAsia="el-GR"/>
        </w:rPr>
        <w:t>Science</w:t>
      </w:r>
      <w:r w:rsidRPr="0099788B">
        <w:rPr>
          <w:rFonts w:ascii="Verdana" w:hAnsi="Verdana"/>
          <w:sz w:val="20"/>
          <w:lang w:val="el-GR" w:eastAsia="el-GR"/>
        </w:rPr>
        <w:t xml:space="preserve"> </w:t>
      </w:r>
      <w:r>
        <w:rPr>
          <w:rFonts w:ascii="Verdana" w:hAnsi="Verdana"/>
          <w:sz w:val="20"/>
          <w:lang w:val="en-US" w:eastAsia="el-GR"/>
        </w:rPr>
        <w:t>with</w:t>
      </w:r>
      <w:r w:rsidRPr="0099788B">
        <w:rPr>
          <w:rFonts w:ascii="Verdana" w:hAnsi="Verdana"/>
          <w:sz w:val="20"/>
          <w:lang w:val="el-GR" w:eastAsia="el-GR"/>
        </w:rPr>
        <w:t xml:space="preserve"> </w:t>
      </w:r>
      <w:r>
        <w:rPr>
          <w:rFonts w:ascii="Verdana" w:hAnsi="Verdana"/>
          <w:sz w:val="20"/>
          <w:lang w:val="en-US" w:eastAsia="el-GR"/>
        </w:rPr>
        <w:t>and</w:t>
      </w:r>
      <w:r w:rsidRPr="0099788B">
        <w:rPr>
          <w:rFonts w:ascii="Verdana" w:hAnsi="Verdana"/>
          <w:sz w:val="20"/>
          <w:lang w:val="el-GR" w:eastAsia="el-GR"/>
        </w:rPr>
        <w:t xml:space="preserve"> </w:t>
      </w:r>
      <w:r>
        <w:rPr>
          <w:rFonts w:ascii="Verdana" w:hAnsi="Verdana"/>
          <w:sz w:val="20"/>
          <w:lang w:val="en-US" w:eastAsia="el-GR"/>
        </w:rPr>
        <w:t>for</w:t>
      </w:r>
      <w:r w:rsidRPr="0099788B">
        <w:rPr>
          <w:rFonts w:ascii="Verdana" w:hAnsi="Verdana"/>
          <w:sz w:val="20"/>
          <w:lang w:val="el-GR" w:eastAsia="el-GR"/>
        </w:rPr>
        <w:t xml:space="preserve"> </w:t>
      </w:r>
      <w:r>
        <w:rPr>
          <w:rFonts w:ascii="Verdana" w:hAnsi="Verdana"/>
          <w:sz w:val="20"/>
          <w:lang w:val="en-US" w:eastAsia="el-GR"/>
        </w:rPr>
        <w:t>society</w:t>
      </w:r>
      <w:r w:rsidR="00016E3D">
        <w:rPr>
          <w:rFonts w:ascii="Verdana" w:hAnsi="Verdana"/>
          <w:sz w:val="20"/>
          <w:lang w:val="el-GR" w:eastAsia="el-GR"/>
        </w:rPr>
        <w:t>"</w:t>
      </w:r>
      <w:r w:rsidRPr="0099788B">
        <w:rPr>
          <w:rFonts w:ascii="Verdana" w:hAnsi="Verdana"/>
          <w:sz w:val="20"/>
          <w:lang w:val="el-GR" w:eastAsia="el-GR"/>
        </w:rPr>
        <w:t xml:space="preserve">) </w:t>
      </w:r>
      <w:r w:rsidR="00016E3D">
        <w:rPr>
          <w:rFonts w:ascii="Verdana" w:hAnsi="Verdana"/>
          <w:sz w:val="20"/>
          <w:lang w:val="el-GR" w:eastAsia="el-GR"/>
        </w:rPr>
        <w:t xml:space="preserve">ανέρχεται στα </w:t>
      </w:r>
      <w:r>
        <w:rPr>
          <w:rFonts w:ascii="Verdana" w:hAnsi="Verdana"/>
          <w:sz w:val="20"/>
          <w:lang w:val="el-GR" w:eastAsia="el-GR"/>
        </w:rPr>
        <w:t xml:space="preserve">4,9 εκατ. </w:t>
      </w:r>
      <w:r w:rsidR="00016E3D">
        <w:rPr>
          <w:rFonts w:ascii="Verdana" w:hAnsi="Verdana"/>
          <w:sz w:val="20"/>
          <w:lang w:val="el-GR" w:eastAsia="el-GR"/>
        </w:rPr>
        <w:t>ε</w:t>
      </w:r>
      <w:r>
        <w:rPr>
          <w:rFonts w:ascii="Verdana" w:hAnsi="Verdana"/>
          <w:sz w:val="20"/>
          <w:lang w:val="el-GR" w:eastAsia="el-GR"/>
        </w:rPr>
        <w:t xml:space="preserve">υρώ. </w:t>
      </w:r>
    </w:p>
    <w:p w:rsidR="00CC6025" w:rsidRPr="005A3F77" w:rsidRDefault="00CC6025" w:rsidP="00921FD0">
      <w:pPr>
        <w:jc w:val="both"/>
        <w:rPr>
          <w:rFonts w:ascii="Verdana" w:hAnsi="Verdana"/>
          <w:sz w:val="16"/>
          <w:lang w:val="el-GR" w:eastAsia="el-GR"/>
        </w:rPr>
      </w:pPr>
    </w:p>
    <w:p w:rsidR="005A3F77" w:rsidRDefault="00CC73D9" w:rsidP="005A3F77">
      <w:pPr>
        <w:jc w:val="both"/>
        <w:rPr>
          <w:rFonts w:ascii="Verdana" w:hAnsi="Verdana"/>
          <w:sz w:val="20"/>
          <w:lang w:val="el-GR" w:eastAsia="el-GR"/>
        </w:rPr>
      </w:pPr>
      <w:r w:rsidRPr="00463D96">
        <w:rPr>
          <w:rFonts w:ascii="Verdana" w:hAnsi="Verdana"/>
          <w:sz w:val="20"/>
          <w:lang w:val="el-GR" w:eastAsia="el-GR"/>
        </w:rPr>
        <w:t>Οι  10 ελληνικοί φορείς που έχουν επιτύχει τη μεγαλύτερη κοινοτική χρηματοδότηση</w:t>
      </w:r>
      <w:r w:rsidR="00016E3D">
        <w:rPr>
          <w:rFonts w:ascii="Verdana" w:hAnsi="Verdana"/>
          <w:sz w:val="20"/>
          <w:lang w:val="el-GR" w:eastAsia="el-GR"/>
        </w:rPr>
        <w:t xml:space="preserve"> μέχρι σήμερα στον Ορίζοντα 2020</w:t>
      </w:r>
      <w:r w:rsidRPr="00463D96">
        <w:rPr>
          <w:rFonts w:ascii="Verdana" w:hAnsi="Verdana"/>
          <w:sz w:val="20"/>
          <w:lang w:val="el-GR" w:eastAsia="el-GR"/>
        </w:rPr>
        <w:t xml:space="preserve"> είναι: Ίδρυμα Τεχνολογίας και Έρευνας, Εθνικό Κέντρο Έρευνας και Τεχνολογικής Ανάπτυξης, Εθνικό &amp; Καποδιστριακό Πανεπιστήμιο Αθηνών, Εθνικό Μετσόβιο Πολυτεχνείο, </w:t>
      </w:r>
      <w:r w:rsidRPr="00463D96">
        <w:rPr>
          <w:rFonts w:ascii="Verdana" w:hAnsi="Verdana"/>
          <w:bCs/>
          <w:sz w:val="20"/>
          <w:lang w:val="el-GR" w:eastAsia="el-GR"/>
        </w:rPr>
        <w:t xml:space="preserve">Ερευνητικό Πανεπιστημιακό Ινστιτούτο Συστημάτων Επικοινωνιών και Υπολογιστών (ΕΠΙΣΕΥ), </w:t>
      </w:r>
      <w:r w:rsidRPr="00463D96">
        <w:rPr>
          <w:rFonts w:ascii="Verdana" w:hAnsi="Verdana"/>
          <w:sz w:val="20"/>
          <w:lang w:val="el-GR" w:eastAsia="el-GR"/>
        </w:rPr>
        <w:t xml:space="preserve">Αριστοτέλειο Πανεπιστήμιο Θεσσαλονίκης, </w:t>
      </w:r>
      <w:r w:rsidR="00463D96" w:rsidRPr="00463D96">
        <w:rPr>
          <w:rFonts w:ascii="Verdana" w:hAnsi="Verdana"/>
          <w:sz w:val="20"/>
          <w:lang w:val="el-GR" w:eastAsia="el-GR"/>
        </w:rPr>
        <w:t>Εθνικό Κέντρο Έρευνας Φυσικών Επιστημών "Δημόκριτος"</w:t>
      </w:r>
      <w:r w:rsidR="00463D96">
        <w:rPr>
          <w:rFonts w:ascii="Verdana" w:hAnsi="Verdana"/>
          <w:sz w:val="20"/>
          <w:lang w:val="el-GR" w:eastAsia="el-GR"/>
        </w:rPr>
        <w:t>,</w:t>
      </w:r>
      <w:r w:rsidR="00463D96" w:rsidRPr="00463D96">
        <w:rPr>
          <w:rFonts w:ascii="Verdana" w:hAnsi="Verdana"/>
          <w:sz w:val="20"/>
          <w:lang w:val="el-GR" w:eastAsia="el-GR"/>
        </w:rPr>
        <w:t xml:space="preserve"> </w:t>
      </w:r>
      <w:r w:rsidRPr="00463D96">
        <w:rPr>
          <w:rFonts w:ascii="Verdana" w:hAnsi="Verdana"/>
          <w:sz w:val="20"/>
          <w:lang w:val="el-GR" w:eastAsia="el-GR"/>
        </w:rPr>
        <w:t>Πανεπιστήμιο Πατρών, Ερευνητικό Κέντρο Καινοτομίας στις Τεχνολογίες της Πληροφορίας των Επικοινωνιών και της Γνώσης</w:t>
      </w:r>
      <w:r w:rsidR="00133268">
        <w:rPr>
          <w:rFonts w:ascii="Verdana" w:hAnsi="Verdana"/>
          <w:sz w:val="20"/>
          <w:lang w:val="el-GR" w:eastAsia="el-GR"/>
        </w:rPr>
        <w:t xml:space="preserve"> </w:t>
      </w:r>
      <w:r w:rsidRPr="00463D96">
        <w:rPr>
          <w:rFonts w:ascii="Verdana" w:hAnsi="Verdana"/>
          <w:sz w:val="20"/>
          <w:lang w:val="el-GR" w:eastAsia="el-GR"/>
        </w:rPr>
        <w:t>ΑΘΗΝΑ</w:t>
      </w:r>
      <w:r w:rsidR="00133268">
        <w:rPr>
          <w:rFonts w:ascii="Verdana" w:hAnsi="Verdana"/>
          <w:sz w:val="20"/>
          <w:lang w:val="el-GR" w:eastAsia="el-GR"/>
        </w:rPr>
        <w:t xml:space="preserve">, </w:t>
      </w:r>
      <w:r w:rsidR="005A3F77">
        <w:rPr>
          <w:rFonts w:ascii="Verdana" w:hAnsi="Verdana"/>
          <w:sz w:val="20"/>
          <w:lang w:val="el-GR" w:eastAsia="el-GR"/>
        </w:rPr>
        <w:t>Πανεπιστήμιο Θεσσαλίας.</w:t>
      </w:r>
    </w:p>
    <w:p w:rsidR="005A3F77" w:rsidRPr="005A3F77" w:rsidRDefault="005A3F77" w:rsidP="005A3F77">
      <w:pPr>
        <w:jc w:val="both"/>
        <w:rPr>
          <w:rFonts w:ascii="Verdana" w:hAnsi="Verdana"/>
          <w:sz w:val="16"/>
          <w:lang w:val="el-GR" w:eastAsia="el-GR"/>
        </w:rPr>
      </w:pPr>
    </w:p>
    <w:p w:rsidR="005A3F77" w:rsidRDefault="00921FD0" w:rsidP="00FD7997">
      <w:pPr>
        <w:jc w:val="both"/>
        <w:rPr>
          <w:rFonts w:ascii="Verdana" w:hAnsi="Verdana"/>
          <w:sz w:val="20"/>
          <w:lang w:val="el-GR" w:eastAsia="el-GR"/>
        </w:rPr>
      </w:pPr>
      <w:r w:rsidRPr="002F7C1A">
        <w:rPr>
          <w:rFonts w:ascii="Verdana" w:hAnsi="Verdana"/>
          <w:sz w:val="20"/>
          <w:lang w:val="el-GR" w:eastAsia="el-GR"/>
        </w:rPr>
        <w:t>Το Εθνικό Κέντρο Τεκμηρίωσης</w:t>
      </w:r>
      <w:r w:rsidR="00133268">
        <w:rPr>
          <w:rFonts w:ascii="Verdana" w:hAnsi="Verdana"/>
          <w:sz w:val="20"/>
          <w:lang w:val="el-GR" w:eastAsia="el-GR"/>
        </w:rPr>
        <w:t xml:space="preserve"> (ΕΚΤ)</w:t>
      </w:r>
      <w:r w:rsidRPr="002F7C1A">
        <w:rPr>
          <w:rFonts w:ascii="Verdana" w:hAnsi="Verdana"/>
          <w:sz w:val="20"/>
          <w:lang w:val="el-GR" w:eastAsia="el-GR"/>
        </w:rPr>
        <w:t xml:space="preserve"> λειτουργεί ως </w:t>
      </w:r>
      <w:r w:rsidRPr="00806190">
        <w:rPr>
          <w:rFonts w:ascii="Verdana" w:hAnsi="Verdana"/>
          <w:sz w:val="20"/>
          <w:lang w:val="el-GR" w:eastAsia="el-GR"/>
        </w:rPr>
        <w:t>Εθνικό Σημείο Επαφής για το πρόγραμμα "Ορίζοντας 2020</w:t>
      </w:r>
      <w:r w:rsidRPr="00806190">
        <w:rPr>
          <w:rFonts w:ascii="Verdana" w:hAnsi="Verdana"/>
          <w:sz w:val="20"/>
          <w:lang w:val="el-GR" w:eastAsia="el-GR"/>
        </w:rPr>
        <w:t>"</w:t>
      </w:r>
      <w:r w:rsidR="00806190">
        <w:rPr>
          <w:rFonts w:ascii="Verdana" w:hAnsi="Verdana"/>
          <w:sz w:val="20"/>
          <w:lang w:val="el-GR" w:eastAsia="el-GR"/>
        </w:rPr>
        <w:t xml:space="preserve"> (</w:t>
      </w:r>
      <w:hyperlink r:id="rId10" w:history="1">
        <w:r w:rsidR="00806190" w:rsidRPr="00C75C5D">
          <w:rPr>
            <w:rStyle w:val="-"/>
            <w:rFonts w:ascii="Verdana" w:hAnsi="Verdana"/>
            <w:sz w:val="20"/>
            <w:lang w:val="el-GR" w:eastAsia="el-GR"/>
          </w:rPr>
          <w:t>http://innovation.</w:t>
        </w:r>
        <w:proofErr w:type="spellStart"/>
        <w:r w:rsidR="00806190" w:rsidRPr="00C75C5D">
          <w:rPr>
            <w:rStyle w:val="-"/>
            <w:rFonts w:ascii="Verdana" w:hAnsi="Verdana"/>
            <w:sz w:val="20"/>
            <w:lang w:val="en-US" w:eastAsia="el-GR"/>
          </w:rPr>
          <w:t>ekt</w:t>
        </w:r>
        <w:proofErr w:type="spellEnd"/>
        <w:r w:rsidR="00806190" w:rsidRPr="00C75C5D">
          <w:rPr>
            <w:rStyle w:val="-"/>
            <w:rFonts w:ascii="Verdana" w:hAnsi="Verdana"/>
            <w:sz w:val="20"/>
            <w:lang w:val="el-GR" w:eastAsia="el-GR"/>
          </w:rPr>
          <w:t>.</w:t>
        </w:r>
        <w:r w:rsidR="00806190" w:rsidRPr="00C75C5D">
          <w:rPr>
            <w:rStyle w:val="-"/>
            <w:rFonts w:ascii="Verdana" w:hAnsi="Verdana"/>
            <w:sz w:val="20"/>
            <w:lang w:val="en-US" w:eastAsia="el-GR"/>
          </w:rPr>
          <w:t>gr</w:t>
        </w:r>
        <w:r w:rsidR="00806190" w:rsidRPr="00806190">
          <w:rPr>
            <w:rStyle w:val="-"/>
            <w:rFonts w:ascii="Verdana" w:hAnsi="Verdana"/>
            <w:sz w:val="20"/>
            <w:lang w:val="el-GR" w:eastAsia="el-GR"/>
          </w:rPr>
          <w:t>/</w:t>
        </w:r>
        <w:r w:rsidR="00806190" w:rsidRPr="00C75C5D">
          <w:rPr>
            <w:rStyle w:val="-"/>
            <w:rFonts w:ascii="Verdana" w:hAnsi="Verdana"/>
            <w:sz w:val="20"/>
            <w:lang w:val="en-US" w:eastAsia="el-GR"/>
          </w:rPr>
          <w:t>horizo</w:t>
        </w:r>
        <w:r w:rsidR="00806190" w:rsidRPr="00C75C5D">
          <w:rPr>
            <w:rStyle w:val="-"/>
            <w:rFonts w:ascii="Verdana" w:hAnsi="Verdana"/>
            <w:sz w:val="20"/>
            <w:lang w:val="en-US" w:eastAsia="el-GR"/>
          </w:rPr>
          <w:t>n</w:t>
        </w:r>
        <w:r w:rsidR="00806190" w:rsidRPr="00806190">
          <w:rPr>
            <w:rStyle w:val="-"/>
            <w:rFonts w:ascii="Verdana" w:hAnsi="Verdana"/>
            <w:sz w:val="20"/>
            <w:lang w:val="el-GR" w:eastAsia="el-GR"/>
          </w:rPr>
          <w:t>2020</w:t>
        </w:r>
      </w:hyperlink>
      <w:r w:rsidR="00806190" w:rsidRPr="00806190">
        <w:rPr>
          <w:rFonts w:ascii="Verdana" w:hAnsi="Verdana"/>
          <w:sz w:val="20"/>
          <w:lang w:val="el-GR" w:eastAsia="el-GR"/>
        </w:rPr>
        <w:t>)</w:t>
      </w:r>
      <w:r w:rsidRPr="002F7C1A">
        <w:rPr>
          <w:rFonts w:ascii="Verdana" w:hAnsi="Verdana"/>
          <w:sz w:val="20"/>
          <w:lang w:val="el-GR" w:eastAsia="el-GR"/>
        </w:rPr>
        <w:t>, υποστηρίζοντας τους ελληνικούς φορείς στη συμμετοχή τους στο πρόγραμμα.</w:t>
      </w:r>
      <w:r w:rsidR="003B5FA5">
        <w:rPr>
          <w:rFonts w:ascii="Verdana" w:hAnsi="Verdana"/>
          <w:sz w:val="20"/>
          <w:lang w:val="el-GR" w:eastAsia="el-GR"/>
        </w:rPr>
        <w:t xml:space="preserve"> </w:t>
      </w:r>
      <w:r w:rsidR="00133268" w:rsidRPr="00133268">
        <w:rPr>
          <w:rFonts w:ascii="Verdana" w:hAnsi="Verdana"/>
          <w:sz w:val="20"/>
          <w:lang w:val="el-GR" w:eastAsia="el-GR"/>
        </w:rPr>
        <w:t xml:space="preserve">Καλύπτοντας όλα τα στάδια των ερευνητικών έργων, από την προετοιμασία της πρότασης έως την υλοποίηση και την αξιοποίηση των ερευνητικών αποτελεσμάτων, οι υπηρεσίες του ΕΚΤ </w:t>
      </w:r>
      <w:r w:rsidR="00133268">
        <w:rPr>
          <w:rFonts w:ascii="Verdana" w:hAnsi="Verdana"/>
          <w:sz w:val="20"/>
          <w:lang w:val="el-GR" w:eastAsia="el-GR"/>
        </w:rPr>
        <w:t xml:space="preserve">προς </w:t>
      </w:r>
      <w:r w:rsidR="00133268" w:rsidRPr="00133268">
        <w:rPr>
          <w:rFonts w:ascii="Verdana" w:hAnsi="Verdana"/>
          <w:sz w:val="20"/>
          <w:lang w:val="el-GR" w:eastAsia="el-GR"/>
        </w:rPr>
        <w:t xml:space="preserve">την ελληνική ακαδημαϊκή, ερευνητική και επιχειρηματική κοινότητα περιλαμβάνουν: Πληροφόρηση και Συμβουλευτικές Υπηρεσίες, Λειτουργία Γραφείου Υποστήριξης, Ανάπτυξη και Διακίνηση ενημερωτικού υλικού, Διοργάνωση εκδηλώσεων και σεμιναρίων, Εξεύρεση συνεργατών για την συγκρότηση κοινοπραξιών και την από κοινού υποβολή προτάσεων, Καταγραφή της εθνικής συμμετοχής και έκδοση στατιστικών στοιχείων και δεικτών απόδοσης. </w:t>
      </w:r>
    </w:p>
    <w:p w:rsidR="005A3F77" w:rsidRPr="005A3F77" w:rsidRDefault="005A3F77" w:rsidP="00FD7997">
      <w:pPr>
        <w:jc w:val="both"/>
        <w:rPr>
          <w:rFonts w:ascii="Verdana" w:hAnsi="Verdana"/>
          <w:sz w:val="16"/>
          <w:lang w:val="el-GR" w:eastAsia="el-GR"/>
        </w:rPr>
      </w:pPr>
    </w:p>
    <w:p w:rsidR="001C398F" w:rsidRDefault="00133268" w:rsidP="00FD7997">
      <w:pPr>
        <w:jc w:val="both"/>
        <w:rPr>
          <w:rFonts w:ascii="Verdana" w:hAnsi="Verdana"/>
          <w:sz w:val="20"/>
          <w:lang w:val="el-GR" w:eastAsia="el-GR"/>
        </w:rPr>
      </w:pPr>
      <w:r>
        <w:rPr>
          <w:rFonts w:ascii="Verdana" w:hAnsi="Verdana"/>
          <w:sz w:val="20"/>
          <w:lang w:val="el-GR" w:eastAsia="el-GR"/>
        </w:rPr>
        <w:t>Σημειώνεται ότι σ</w:t>
      </w:r>
      <w:r w:rsidR="00221531" w:rsidRPr="00221531">
        <w:rPr>
          <w:rFonts w:ascii="Verdana" w:hAnsi="Verdana"/>
          <w:sz w:val="20"/>
          <w:lang w:val="el-GR" w:eastAsia="el-GR"/>
        </w:rPr>
        <w:t xml:space="preserve">τη σειρά των ειδικών εκθέσεων που δημοσιεύει το </w:t>
      </w:r>
      <w:r>
        <w:rPr>
          <w:rFonts w:ascii="Verdana" w:hAnsi="Verdana"/>
          <w:sz w:val="20"/>
          <w:lang w:val="el-GR" w:eastAsia="el-GR"/>
        </w:rPr>
        <w:t>ΕΚΤ</w:t>
      </w:r>
      <w:r w:rsidR="00221531" w:rsidRPr="00221531">
        <w:rPr>
          <w:rFonts w:ascii="Verdana" w:hAnsi="Verdana"/>
          <w:sz w:val="20"/>
          <w:lang w:val="el-GR" w:eastAsia="el-GR"/>
        </w:rPr>
        <w:t xml:space="preserve"> στ</w:t>
      </w:r>
      <w:r w:rsidR="00221531">
        <w:rPr>
          <w:rFonts w:ascii="Verdana" w:hAnsi="Verdana"/>
          <w:sz w:val="20"/>
          <w:lang w:val="el-GR" w:eastAsia="el-GR"/>
        </w:rPr>
        <w:t xml:space="preserve">η διεύθυνση </w:t>
      </w:r>
      <w:hyperlink r:id="rId11" w:history="1">
        <w:r w:rsidR="00221531" w:rsidRPr="00C077E6">
          <w:rPr>
            <w:rStyle w:val="-"/>
            <w:rFonts w:ascii="Verdana" w:hAnsi="Verdana"/>
            <w:sz w:val="20"/>
            <w:lang w:val="el-GR" w:eastAsia="el-GR"/>
          </w:rPr>
          <w:t>http://metrics.ekt.gr/el/eidikes-ektheseis/ekdoseis-EKT</w:t>
        </w:r>
      </w:hyperlink>
      <w:r w:rsidR="00221531" w:rsidRPr="00221531">
        <w:rPr>
          <w:rFonts w:ascii="Verdana" w:hAnsi="Verdana"/>
          <w:sz w:val="20"/>
          <w:lang w:val="el-GR" w:eastAsia="el-GR"/>
        </w:rPr>
        <w:t>, με δείκτες που αναδεικνύουν σημαντικές πλευρές της εγχώριας ερευνητικής δραστηριότητας, παρουσιάζονται τα αναλυτικά στοιχεία της ελληνικής συμμετοχής για τα προγράμματα στα οποία το ΕΚΤ είναι Εθνικό Σημείο Επαφής.</w:t>
      </w:r>
    </w:p>
    <w:p w:rsidR="00806190" w:rsidRDefault="00806190" w:rsidP="00FD7997">
      <w:pPr>
        <w:jc w:val="both"/>
        <w:rPr>
          <w:rFonts w:ascii="Verdana" w:hAnsi="Verdana"/>
          <w:sz w:val="20"/>
          <w:lang w:val="el-GR" w:eastAsia="el-GR"/>
        </w:rPr>
      </w:pPr>
    </w:p>
    <w:p w:rsidR="000E41C0" w:rsidRPr="000E41C0" w:rsidRDefault="000E41C0" w:rsidP="000E41C0">
      <w:pPr>
        <w:jc w:val="both"/>
        <w:rPr>
          <w:rFonts w:ascii="Verdana" w:eastAsia="Batang" w:hAnsi="Verdana"/>
          <w:b/>
          <w:sz w:val="20"/>
          <w:lang w:val="el-GR" w:eastAsia="el-GR"/>
        </w:rPr>
      </w:pPr>
      <w:r w:rsidRPr="000E41C0">
        <w:rPr>
          <w:rFonts w:ascii="Verdana" w:eastAsia="Batang" w:hAnsi="Verdana"/>
          <w:b/>
          <w:sz w:val="20"/>
          <w:lang w:val="el-GR" w:eastAsia="el-GR"/>
        </w:rPr>
        <w:t>Επικοινωνία για δημοσιογράφους</w:t>
      </w:r>
    </w:p>
    <w:p w:rsidR="000E41C0" w:rsidRPr="000E41C0" w:rsidRDefault="000E41C0" w:rsidP="000E41C0">
      <w:pPr>
        <w:jc w:val="both"/>
        <w:rPr>
          <w:rFonts w:ascii="Verdana" w:eastAsia="Batang" w:hAnsi="Verdana"/>
          <w:sz w:val="20"/>
          <w:lang w:val="el-GR" w:eastAsia="el-GR"/>
        </w:rPr>
      </w:pPr>
      <w:r w:rsidRPr="000E41C0">
        <w:rPr>
          <w:rFonts w:ascii="Verdana" w:eastAsia="Batang" w:hAnsi="Verdana"/>
          <w:sz w:val="20"/>
          <w:lang w:val="el-GR" w:eastAsia="el-GR"/>
        </w:rPr>
        <w:t xml:space="preserve">Εθνικό Κέντρο Τεκμηρίωσης </w:t>
      </w:r>
    </w:p>
    <w:p w:rsidR="000E41C0" w:rsidRPr="000E41C0" w:rsidRDefault="000E41C0" w:rsidP="000E41C0">
      <w:pPr>
        <w:jc w:val="both"/>
        <w:rPr>
          <w:rFonts w:ascii="Verdana" w:eastAsia="Batang" w:hAnsi="Verdana"/>
          <w:sz w:val="20"/>
          <w:lang w:val="el-GR" w:eastAsia="el-GR"/>
        </w:rPr>
      </w:pPr>
      <w:r w:rsidRPr="000E41C0">
        <w:rPr>
          <w:rFonts w:ascii="Verdana" w:eastAsia="Batang" w:hAnsi="Verdana"/>
          <w:sz w:val="20"/>
          <w:lang w:val="el-GR" w:eastAsia="el-GR"/>
        </w:rPr>
        <w:t xml:space="preserve">Μαργαρίτης Προέδρου, </w:t>
      </w:r>
      <w:proofErr w:type="spellStart"/>
      <w:r w:rsidRPr="000E41C0">
        <w:rPr>
          <w:rFonts w:ascii="Verdana" w:eastAsia="Batang" w:hAnsi="Verdana"/>
          <w:sz w:val="20"/>
          <w:lang w:val="el-GR" w:eastAsia="el-GR"/>
        </w:rPr>
        <w:t>τηλ</w:t>
      </w:r>
      <w:proofErr w:type="spellEnd"/>
      <w:r w:rsidRPr="000E41C0">
        <w:rPr>
          <w:rFonts w:ascii="Verdana" w:eastAsia="Batang" w:hAnsi="Verdana"/>
          <w:sz w:val="20"/>
          <w:lang w:val="el-GR" w:eastAsia="el-GR"/>
        </w:rPr>
        <w:t xml:space="preserve">.: 210 7273966, </w:t>
      </w:r>
      <w:r w:rsidRPr="000E41C0">
        <w:rPr>
          <w:rFonts w:ascii="Verdana" w:eastAsia="Batang" w:hAnsi="Verdana"/>
          <w:sz w:val="20"/>
          <w:lang w:val="en-US" w:eastAsia="el-GR"/>
        </w:rPr>
        <w:t>e</w:t>
      </w:r>
      <w:r w:rsidRPr="000E41C0">
        <w:rPr>
          <w:rFonts w:ascii="Verdana" w:eastAsia="Batang" w:hAnsi="Verdana"/>
          <w:sz w:val="20"/>
          <w:lang w:val="el-GR" w:eastAsia="el-GR"/>
        </w:rPr>
        <w:t>-</w:t>
      </w:r>
      <w:r w:rsidRPr="000E41C0">
        <w:rPr>
          <w:rFonts w:ascii="Verdana" w:eastAsia="Batang" w:hAnsi="Verdana"/>
          <w:sz w:val="20"/>
          <w:lang w:val="en-US" w:eastAsia="el-GR"/>
        </w:rPr>
        <w:t>mail</w:t>
      </w:r>
      <w:r w:rsidRPr="000E41C0">
        <w:rPr>
          <w:rFonts w:ascii="Verdana" w:eastAsia="Batang" w:hAnsi="Verdana"/>
          <w:sz w:val="20"/>
          <w:lang w:val="el-GR" w:eastAsia="el-GR"/>
        </w:rPr>
        <w:t xml:space="preserve">: </w:t>
      </w:r>
      <w:proofErr w:type="spellStart"/>
      <w:r w:rsidRPr="000E41C0">
        <w:rPr>
          <w:rFonts w:ascii="Verdana" w:eastAsia="Batang" w:hAnsi="Verdana"/>
          <w:sz w:val="20"/>
          <w:lang w:val="en-US" w:eastAsia="el-GR"/>
        </w:rPr>
        <w:t>mproed</w:t>
      </w:r>
      <w:proofErr w:type="spellEnd"/>
      <w:r w:rsidRPr="000E41C0">
        <w:rPr>
          <w:rFonts w:ascii="Verdana" w:eastAsia="Batang" w:hAnsi="Verdana"/>
          <w:sz w:val="20"/>
          <w:lang w:val="el-GR" w:eastAsia="el-GR"/>
        </w:rPr>
        <w:t>@</w:t>
      </w:r>
      <w:proofErr w:type="spellStart"/>
      <w:r w:rsidRPr="000E41C0">
        <w:rPr>
          <w:rFonts w:ascii="Verdana" w:eastAsia="Batang" w:hAnsi="Verdana"/>
          <w:sz w:val="20"/>
          <w:lang w:val="en-US" w:eastAsia="el-GR"/>
        </w:rPr>
        <w:t>ekt</w:t>
      </w:r>
      <w:proofErr w:type="spellEnd"/>
      <w:r w:rsidRPr="000E41C0">
        <w:rPr>
          <w:rFonts w:ascii="Verdana" w:eastAsia="Batang" w:hAnsi="Verdana"/>
          <w:sz w:val="20"/>
          <w:lang w:val="el-GR" w:eastAsia="el-GR"/>
        </w:rPr>
        <w:t>.</w:t>
      </w:r>
      <w:r w:rsidRPr="000E41C0">
        <w:rPr>
          <w:rFonts w:ascii="Verdana" w:eastAsia="Batang" w:hAnsi="Verdana"/>
          <w:sz w:val="20"/>
          <w:lang w:val="en-US" w:eastAsia="el-GR"/>
        </w:rPr>
        <w:t>gr</w:t>
      </w:r>
      <w:r w:rsidRPr="000E41C0">
        <w:rPr>
          <w:rFonts w:ascii="Verdana" w:eastAsia="Batang" w:hAnsi="Verdana"/>
          <w:sz w:val="20"/>
          <w:lang w:val="el-GR" w:eastAsia="el-GR"/>
        </w:rPr>
        <w:t xml:space="preserve"> </w:t>
      </w:r>
    </w:p>
    <w:p w:rsidR="000E41C0" w:rsidRPr="00313CD0" w:rsidRDefault="00CE7716" w:rsidP="000E41C0">
      <w:pPr>
        <w:jc w:val="both"/>
        <w:rPr>
          <w:rFonts w:ascii="Verdana" w:eastAsia="Batang" w:hAnsi="Verdana"/>
          <w:sz w:val="22"/>
          <w:lang w:val="el-GR" w:eastAsia="el-GR"/>
        </w:rPr>
      </w:pPr>
      <w:hyperlink r:id="rId12" w:history="1">
        <w:r w:rsidR="000E41C0" w:rsidRPr="00313CD0">
          <w:rPr>
            <w:rFonts w:ascii="Verdana" w:eastAsia="Batang" w:hAnsi="Verdana"/>
            <w:color w:val="0000FF"/>
            <w:sz w:val="22"/>
            <w:u w:val="single"/>
            <w:lang w:val="en-US" w:eastAsia="el-GR"/>
          </w:rPr>
          <w:t>http</w:t>
        </w:r>
        <w:r w:rsidR="000E41C0" w:rsidRPr="00313CD0">
          <w:rPr>
            <w:rFonts w:ascii="Verdana" w:eastAsia="Batang" w:hAnsi="Verdana"/>
            <w:color w:val="0000FF"/>
            <w:sz w:val="22"/>
            <w:u w:val="single"/>
            <w:lang w:val="el-GR" w:eastAsia="el-GR"/>
          </w:rPr>
          <w:t>://</w:t>
        </w:r>
        <w:r w:rsidR="000E41C0" w:rsidRPr="00313CD0">
          <w:rPr>
            <w:rFonts w:ascii="Verdana" w:eastAsia="Batang" w:hAnsi="Verdana"/>
            <w:color w:val="0000FF"/>
            <w:sz w:val="22"/>
            <w:u w:val="single"/>
            <w:lang w:val="en-US" w:eastAsia="el-GR"/>
          </w:rPr>
          <w:t>www</w:t>
        </w:r>
        <w:r w:rsidR="000E41C0" w:rsidRPr="00313CD0">
          <w:rPr>
            <w:rFonts w:ascii="Verdana" w:eastAsia="Batang" w:hAnsi="Verdana"/>
            <w:color w:val="0000FF"/>
            <w:sz w:val="22"/>
            <w:u w:val="single"/>
            <w:lang w:val="el-GR" w:eastAsia="el-GR"/>
          </w:rPr>
          <w:t>.</w:t>
        </w:r>
        <w:proofErr w:type="spellStart"/>
        <w:r w:rsidR="000E41C0" w:rsidRPr="00313CD0">
          <w:rPr>
            <w:rFonts w:ascii="Verdana" w:eastAsia="Batang" w:hAnsi="Verdana"/>
            <w:color w:val="0000FF"/>
            <w:sz w:val="22"/>
            <w:u w:val="single"/>
            <w:lang w:val="en-US" w:eastAsia="el-GR"/>
          </w:rPr>
          <w:t>ekt</w:t>
        </w:r>
        <w:proofErr w:type="spellEnd"/>
        <w:r w:rsidR="000E41C0" w:rsidRPr="00313CD0">
          <w:rPr>
            <w:rFonts w:ascii="Verdana" w:eastAsia="Batang" w:hAnsi="Verdana"/>
            <w:color w:val="0000FF"/>
            <w:sz w:val="22"/>
            <w:u w:val="single"/>
            <w:lang w:val="el-GR" w:eastAsia="el-GR"/>
          </w:rPr>
          <w:t>.</w:t>
        </w:r>
        <w:r w:rsidR="000E41C0" w:rsidRPr="00313CD0">
          <w:rPr>
            <w:rFonts w:ascii="Verdana" w:eastAsia="Batang" w:hAnsi="Verdana"/>
            <w:color w:val="0000FF"/>
            <w:sz w:val="22"/>
            <w:u w:val="single"/>
            <w:lang w:val="en-US" w:eastAsia="el-GR"/>
          </w:rPr>
          <w:t>gr</w:t>
        </w:r>
      </w:hyperlink>
      <w:r w:rsidR="000E41C0" w:rsidRPr="00313CD0">
        <w:rPr>
          <w:rFonts w:ascii="Verdana" w:eastAsia="Batang" w:hAnsi="Verdana"/>
          <w:sz w:val="22"/>
          <w:lang w:val="el-GR" w:eastAsia="el-GR"/>
        </w:rPr>
        <w:t xml:space="preserve">  </w:t>
      </w:r>
    </w:p>
    <w:p w:rsidR="000E41C0" w:rsidRPr="000E41C0" w:rsidRDefault="000E41C0" w:rsidP="000E41C0">
      <w:pPr>
        <w:jc w:val="both"/>
        <w:rPr>
          <w:rFonts w:ascii="Verdana" w:eastAsia="Batang" w:hAnsi="Verdana"/>
          <w:b/>
          <w:i/>
          <w:sz w:val="18"/>
          <w:szCs w:val="18"/>
          <w:lang w:val="el-GR" w:eastAsia="el-GR"/>
        </w:rPr>
      </w:pPr>
    </w:p>
    <w:p w:rsidR="000E41C0" w:rsidRPr="000E41C0" w:rsidRDefault="000E41C0" w:rsidP="000E41C0">
      <w:pPr>
        <w:jc w:val="both"/>
        <w:rPr>
          <w:rFonts w:ascii="Verdana" w:eastAsia="Batang" w:hAnsi="Verdana"/>
          <w:b/>
          <w:i/>
          <w:sz w:val="18"/>
          <w:szCs w:val="18"/>
          <w:lang w:val="el-GR" w:eastAsia="el-GR"/>
        </w:rPr>
      </w:pPr>
      <w:r w:rsidRPr="000E41C0">
        <w:rPr>
          <w:rFonts w:ascii="Verdana" w:eastAsia="Batang" w:hAnsi="Verdana"/>
          <w:b/>
          <w:i/>
          <w:sz w:val="18"/>
          <w:szCs w:val="18"/>
          <w:lang w:val="el-GR" w:eastAsia="el-GR"/>
        </w:rPr>
        <w:t>Σχετικά με το Εθνικό Κέντρο Τεκμηρίωσης</w:t>
      </w:r>
    </w:p>
    <w:p w:rsidR="000E41C0" w:rsidRPr="000E41C0" w:rsidRDefault="000E41C0" w:rsidP="000E41C0">
      <w:pPr>
        <w:jc w:val="both"/>
        <w:rPr>
          <w:rFonts w:ascii="Verdana" w:eastAsia="Batang" w:hAnsi="Verdana"/>
          <w:i/>
          <w:sz w:val="18"/>
          <w:szCs w:val="18"/>
          <w:lang w:val="el-GR" w:eastAsia="el-GR"/>
        </w:rPr>
      </w:pPr>
      <w:r w:rsidRPr="000E41C0">
        <w:rPr>
          <w:rFonts w:ascii="Verdana" w:eastAsia="Batang" w:hAnsi="Verdana"/>
          <w:i/>
          <w:sz w:val="18"/>
          <w:szCs w:val="18"/>
          <w:lang w:val="el-GR" w:eastAsia="el-GR"/>
        </w:rPr>
        <w:t>Το Εθνικό Κέντρο Τεκμηρίωσης (</w:t>
      </w:r>
      <w:hyperlink r:id="rId13" w:history="1">
        <w:r w:rsidRPr="000E41C0">
          <w:rPr>
            <w:rFonts w:ascii="Verdana" w:eastAsia="Batang" w:hAnsi="Verdana"/>
            <w:i/>
            <w:color w:val="0000FF"/>
            <w:sz w:val="18"/>
            <w:szCs w:val="18"/>
            <w:u w:val="single"/>
            <w:lang w:val="en-US" w:eastAsia="el-GR"/>
          </w:rPr>
          <w:t>www</w:t>
        </w:r>
        <w:r w:rsidRPr="000E41C0">
          <w:rPr>
            <w:rFonts w:ascii="Verdana" w:eastAsia="Batang" w:hAnsi="Verdana"/>
            <w:i/>
            <w:color w:val="0000FF"/>
            <w:sz w:val="18"/>
            <w:szCs w:val="18"/>
            <w:u w:val="single"/>
            <w:lang w:val="el-GR" w:eastAsia="el-GR"/>
          </w:rPr>
          <w:t>.</w:t>
        </w:r>
        <w:proofErr w:type="spellStart"/>
        <w:r w:rsidRPr="000E41C0">
          <w:rPr>
            <w:rFonts w:ascii="Verdana" w:eastAsia="Batang" w:hAnsi="Verdana"/>
            <w:i/>
            <w:color w:val="0000FF"/>
            <w:sz w:val="18"/>
            <w:szCs w:val="18"/>
            <w:u w:val="single"/>
            <w:lang w:val="en-US" w:eastAsia="el-GR"/>
          </w:rPr>
          <w:t>ekt</w:t>
        </w:r>
        <w:proofErr w:type="spellEnd"/>
        <w:r w:rsidRPr="000E41C0">
          <w:rPr>
            <w:rFonts w:ascii="Verdana" w:eastAsia="Batang" w:hAnsi="Verdana"/>
            <w:i/>
            <w:color w:val="0000FF"/>
            <w:sz w:val="18"/>
            <w:szCs w:val="18"/>
            <w:u w:val="single"/>
            <w:lang w:val="el-GR" w:eastAsia="el-GR"/>
          </w:rPr>
          <w:t>.</w:t>
        </w:r>
        <w:r w:rsidRPr="000E41C0">
          <w:rPr>
            <w:rFonts w:ascii="Verdana" w:eastAsia="Batang" w:hAnsi="Verdana"/>
            <w:i/>
            <w:color w:val="0000FF"/>
            <w:sz w:val="18"/>
            <w:szCs w:val="18"/>
            <w:u w:val="single"/>
            <w:lang w:val="en-US" w:eastAsia="el-GR"/>
          </w:rPr>
          <w:t>gr</w:t>
        </w:r>
      </w:hyperlink>
      <w:r w:rsidRPr="000E41C0">
        <w:rPr>
          <w:rFonts w:ascii="Verdana" w:eastAsia="Batang" w:hAnsi="Verdana"/>
          <w:i/>
          <w:sz w:val="18"/>
          <w:szCs w:val="18"/>
          <w:lang w:val="el-GR" w:eastAsia="el-GR"/>
        </w:rPr>
        <w:t xml:space="preserve">) αποτελεί επιστημονική εγκατάσταση εθνικής χρήσης στο Εθνικό Ίδρυμα Ερευνών. Ως εθνική υποδομή, το ΕΚΤ έχει θεσμικό ρόλο τη συλλογή, οργάνωση, διάθεση και διατήρηση του συνόλου της ελληνικής επιστημονικής, ερευνητικής και πολιτιστικής παραγωγής (περιεχόμενο και δεδομένα) και τη διάχυσή της, εντός και εκτός της χώρας. Παρέχει ευρεία πληροφόρηση για τα θέματα έρευνας &amp; καινοτομίας, υποστηρίζει τη συμμετοχή σε εθνικά &amp; ευρωπαϊκά προγράμματα, προωθεί την καινοτόμο επιχειρηματικότητα και την αξιοποίηση ερευνητικών αποτελεσμάτων, και παράγει στατιστικές &amp; δείκτες για την έρευνα, την ανάπτυξη και την καινοτομία στην Ελλάδα.  </w:t>
      </w:r>
    </w:p>
    <w:p w:rsidR="000E41C0" w:rsidRPr="000E41C0" w:rsidRDefault="000E41C0" w:rsidP="000E41C0">
      <w:pPr>
        <w:jc w:val="both"/>
        <w:rPr>
          <w:rFonts w:ascii="Verdana" w:eastAsia="Batang" w:hAnsi="Verdana"/>
          <w:i/>
          <w:sz w:val="8"/>
          <w:szCs w:val="18"/>
          <w:lang w:val="el-GR" w:eastAsia="el-GR"/>
        </w:rPr>
      </w:pPr>
    </w:p>
    <w:p w:rsidR="000E41C0" w:rsidRPr="000E41C0" w:rsidRDefault="000E41C0" w:rsidP="000E41C0">
      <w:pPr>
        <w:jc w:val="both"/>
        <w:rPr>
          <w:rFonts w:ascii="Verdana" w:eastAsia="Batang" w:hAnsi="Verdana"/>
          <w:i/>
          <w:sz w:val="18"/>
          <w:szCs w:val="18"/>
          <w:lang w:val="el-GR" w:eastAsia="el-GR"/>
        </w:rPr>
      </w:pPr>
      <w:r w:rsidRPr="000E41C0">
        <w:rPr>
          <w:rFonts w:ascii="Verdana" w:eastAsia="Batang" w:hAnsi="Verdana"/>
          <w:i/>
          <w:sz w:val="18"/>
          <w:szCs w:val="18"/>
          <w:lang w:val="el-GR" w:eastAsia="el-GR"/>
        </w:rPr>
        <w:t xml:space="preserve">Το ΕΚΤ αναπτύσσει και λειτουργεί ηλεκτρονική υποδομή, με υψηλή </w:t>
      </w:r>
      <w:proofErr w:type="spellStart"/>
      <w:r w:rsidRPr="000E41C0">
        <w:rPr>
          <w:rFonts w:ascii="Verdana" w:eastAsia="Batang" w:hAnsi="Verdana"/>
          <w:i/>
          <w:sz w:val="18"/>
          <w:szCs w:val="18"/>
          <w:lang w:val="el-GR" w:eastAsia="el-GR"/>
        </w:rPr>
        <w:t>επενδεδυμένη</w:t>
      </w:r>
      <w:proofErr w:type="spellEnd"/>
      <w:r w:rsidRPr="000E41C0">
        <w:rPr>
          <w:rFonts w:ascii="Verdana" w:eastAsia="Batang" w:hAnsi="Verdana"/>
          <w:i/>
          <w:sz w:val="18"/>
          <w:szCs w:val="18"/>
          <w:lang w:val="el-GR" w:eastAsia="el-GR"/>
        </w:rPr>
        <w:t xml:space="preserve"> αξία και διαδικασίες, που εξυπηρετεί εθνικούς ρόλους, παρέχει προηγμένες ηλεκτρονικές υπηρεσίες, </w:t>
      </w:r>
      <w:r w:rsidRPr="000E41C0">
        <w:rPr>
          <w:rFonts w:ascii="Verdana" w:eastAsia="Batang" w:hAnsi="Verdana"/>
          <w:i/>
          <w:sz w:val="18"/>
          <w:szCs w:val="18"/>
          <w:lang w:val="el-GR" w:eastAsia="el-GR"/>
        </w:rPr>
        <w:lastRenderedPageBreak/>
        <w:t xml:space="preserve">ενισχύει την ανοικτή πρόσβαση στη γνώση και διασφαλίζει πρόσβαση στους χρήστες από οπουδήποτε, οποτεδήποτε. </w:t>
      </w:r>
    </w:p>
    <w:p w:rsidR="000E41C0" w:rsidRPr="000E41C0" w:rsidRDefault="000E41C0" w:rsidP="000E41C0">
      <w:pPr>
        <w:jc w:val="both"/>
        <w:rPr>
          <w:rFonts w:ascii="Verdana" w:eastAsia="Batang" w:hAnsi="Verdana"/>
          <w:i/>
          <w:sz w:val="6"/>
          <w:szCs w:val="18"/>
          <w:lang w:val="el-GR" w:eastAsia="el-GR"/>
        </w:rPr>
      </w:pPr>
    </w:p>
    <w:p w:rsidR="000E41C0" w:rsidRPr="000E41C0" w:rsidRDefault="000E41C0" w:rsidP="000E41C0">
      <w:pPr>
        <w:jc w:val="both"/>
        <w:rPr>
          <w:rFonts w:ascii="Verdana" w:eastAsia="Batang" w:hAnsi="Verdana"/>
          <w:b/>
          <w:szCs w:val="24"/>
          <w:lang w:val="el-GR"/>
        </w:rPr>
      </w:pPr>
      <w:r w:rsidRPr="000E41C0">
        <w:rPr>
          <w:rFonts w:ascii="Verdana" w:eastAsia="Batang" w:hAnsi="Verdana"/>
          <w:i/>
          <w:sz w:val="18"/>
          <w:szCs w:val="18"/>
          <w:lang w:val="el-GR" w:eastAsia="el-GR"/>
        </w:rPr>
        <w:t>Με εκτεταμένο δίκτυο εγκαθιδρυμένων συνεργασιών με διεθνείς φορείς και με σημαντικούς φορείς παραγωγής έγκριτου περιεχομένου στην Ελλάδα, όπως βιβλιοθήκες, αρχεία, μουσεία, ερευνητικά κέντρα, και με προσανατολισμό προς την κοινωνία, το ΕΚΤ διακρίνεται για την εξωστρέφεια, τη συνέπεια, την ποιότητα και την αποτελεσματικότητα στη λειτουργία του.</w:t>
      </w:r>
    </w:p>
    <w:p w:rsidR="005A3F77" w:rsidRDefault="000E41C0" w:rsidP="005A3F77">
      <w:pPr>
        <w:jc w:val="center"/>
        <w:rPr>
          <w:rFonts w:ascii="Verdana" w:hAnsi="Verdana"/>
          <w:b/>
          <w:szCs w:val="24"/>
          <w:lang w:val="el-GR"/>
        </w:rPr>
      </w:pPr>
      <w:r w:rsidRPr="000E41C0">
        <w:rPr>
          <w:rFonts w:ascii="Verdana" w:eastAsia="Batang" w:hAnsi="Verdana"/>
          <w:b/>
          <w:szCs w:val="24"/>
          <w:lang w:val="el-GR"/>
        </w:rPr>
        <w:br w:type="page"/>
      </w:r>
      <w:r w:rsidR="000B51F0" w:rsidRPr="005A3F77">
        <w:rPr>
          <w:rFonts w:ascii="Verdana" w:hAnsi="Verdana"/>
          <w:b/>
          <w:szCs w:val="24"/>
          <w:lang w:val="el-GR"/>
        </w:rPr>
        <w:lastRenderedPageBreak/>
        <w:t>Διαγράμματα σχετικ</w:t>
      </w:r>
      <w:r w:rsidR="00292116" w:rsidRPr="005A3F77">
        <w:rPr>
          <w:rFonts w:ascii="Verdana" w:hAnsi="Verdana"/>
          <w:b/>
          <w:szCs w:val="24"/>
          <w:lang w:val="el-GR"/>
        </w:rPr>
        <w:t>ά</w:t>
      </w:r>
      <w:r w:rsidR="000B51F0" w:rsidRPr="005A3F77">
        <w:rPr>
          <w:rFonts w:ascii="Verdana" w:hAnsi="Verdana"/>
          <w:b/>
          <w:szCs w:val="24"/>
          <w:lang w:val="el-GR"/>
        </w:rPr>
        <w:t xml:space="preserve"> με την ελληνική συμμετοχή</w:t>
      </w:r>
    </w:p>
    <w:p w:rsidR="00D05D2B" w:rsidRDefault="000B51F0" w:rsidP="005A3F77">
      <w:pPr>
        <w:jc w:val="center"/>
        <w:rPr>
          <w:rFonts w:ascii="Verdana" w:hAnsi="Verdana"/>
          <w:b/>
          <w:szCs w:val="24"/>
          <w:lang w:val="el-GR"/>
        </w:rPr>
      </w:pPr>
      <w:r w:rsidRPr="005A3F77">
        <w:rPr>
          <w:rFonts w:ascii="Verdana" w:hAnsi="Verdana"/>
          <w:b/>
          <w:szCs w:val="24"/>
          <w:lang w:val="el-GR"/>
        </w:rPr>
        <w:t>στον Ορίζοντα 2020</w:t>
      </w:r>
    </w:p>
    <w:p w:rsidR="00CE203E" w:rsidRDefault="00CE203E" w:rsidP="00D05D2B">
      <w:pPr>
        <w:jc w:val="both"/>
        <w:rPr>
          <w:rFonts w:ascii="Verdana" w:hAnsi="Verdana"/>
          <w:b/>
          <w:szCs w:val="24"/>
          <w:lang w:val="el-GR"/>
        </w:rPr>
      </w:pPr>
    </w:p>
    <w:p w:rsidR="000D7AA3" w:rsidRDefault="000D7AA3" w:rsidP="00D05D2B">
      <w:pPr>
        <w:jc w:val="both"/>
        <w:rPr>
          <w:rFonts w:ascii="Verdana" w:hAnsi="Verdana"/>
          <w:b/>
          <w:szCs w:val="24"/>
          <w:lang w:val="el-GR"/>
        </w:rPr>
      </w:pPr>
      <w:r>
        <w:rPr>
          <w:noProof/>
          <w:lang w:val="el-GR" w:eastAsia="el-GR"/>
        </w:rPr>
        <w:drawing>
          <wp:inline distT="0" distB="0" distL="0" distR="0" wp14:anchorId="1F53A404" wp14:editId="66C7F90E">
            <wp:extent cx="6296025" cy="6115050"/>
            <wp:effectExtent l="0" t="0" r="0" b="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7AA3" w:rsidRPr="000D7AA3" w:rsidRDefault="000D7AA3" w:rsidP="000D7AA3">
      <w:pPr>
        <w:jc w:val="both"/>
        <w:rPr>
          <w:rFonts w:ascii="Verdana" w:hAnsi="Verdana"/>
          <w:i/>
          <w:noProof/>
          <w:sz w:val="16"/>
          <w:lang w:val="el-GR" w:eastAsia="el-GR"/>
        </w:rPr>
      </w:pPr>
      <w:r w:rsidRPr="00013B95">
        <w:rPr>
          <w:rFonts w:ascii="Verdana" w:hAnsi="Verdana"/>
          <w:i/>
          <w:noProof/>
          <w:sz w:val="16"/>
          <w:lang w:val="el-GR" w:eastAsia="el-GR"/>
        </w:rPr>
        <w:t xml:space="preserve">Πηγή: </w:t>
      </w:r>
      <w:r>
        <w:rPr>
          <w:rFonts w:ascii="Verdana" w:hAnsi="Verdana"/>
          <w:i/>
          <w:noProof/>
          <w:sz w:val="16"/>
          <w:lang w:val="el-GR" w:eastAsia="el-GR"/>
        </w:rPr>
        <w:t>e</w:t>
      </w:r>
      <w:r>
        <w:rPr>
          <w:rFonts w:ascii="Verdana" w:hAnsi="Verdana"/>
          <w:i/>
          <w:noProof/>
          <w:sz w:val="16"/>
          <w:lang w:val="en-US" w:eastAsia="el-GR"/>
        </w:rPr>
        <w:t>CORDA</w:t>
      </w:r>
      <w:r w:rsidR="005E43B5">
        <w:rPr>
          <w:rFonts w:ascii="Verdana" w:hAnsi="Verdana"/>
          <w:i/>
          <w:noProof/>
          <w:sz w:val="16"/>
          <w:lang w:val="el-GR" w:eastAsia="el-GR"/>
        </w:rPr>
        <w:t>/Ιούλιος 2016</w:t>
      </w:r>
      <w:r w:rsidR="0006061C">
        <w:rPr>
          <w:rFonts w:ascii="Verdana" w:hAnsi="Verdana"/>
          <w:i/>
          <w:noProof/>
          <w:sz w:val="16"/>
          <w:lang w:val="el-GR" w:eastAsia="el-GR"/>
        </w:rPr>
        <w:t xml:space="preserve">, επεξεργασία στοιχείων: </w:t>
      </w:r>
      <w:r>
        <w:rPr>
          <w:rFonts w:ascii="Verdana" w:hAnsi="Verdana"/>
          <w:i/>
          <w:noProof/>
          <w:sz w:val="16"/>
          <w:lang w:val="el-GR" w:eastAsia="el-GR"/>
        </w:rPr>
        <w:t>Εθνικό Κέντρο Τεκμηρίωσης</w:t>
      </w:r>
    </w:p>
    <w:p w:rsidR="000D7AA3" w:rsidRDefault="000D7AA3" w:rsidP="00D05D2B">
      <w:pPr>
        <w:jc w:val="both"/>
        <w:rPr>
          <w:rFonts w:ascii="Verdana" w:hAnsi="Verdana"/>
          <w:b/>
          <w:szCs w:val="24"/>
          <w:lang w:val="el-GR"/>
        </w:rPr>
      </w:pPr>
    </w:p>
    <w:p w:rsidR="000D7AA3" w:rsidRDefault="000D7AA3" w:rsidP="00D05D2B">
      <w:pPr>
        <w:jc w:val="both"/>
        <w:rPr>
          <w:rFonts w:ascii="Verdana" w:hAnsi="Verdana"/>
          <w:b/>
          <w:szCs w:val="24"/>
          <w:lang w:val="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7B21A0" w:rsidRDefault="007B21A0" w:rsidP="009A3CA9">
      <w:pPr>
        <w:jc w:val="both"/>
        <w:rPr>
          <w:rFonts w:ascii="Verdana" w:hAnsi="Verdana"/>
          <w:noProof/>
          <w:sz w:val="20"/>
          <w:lang w:val="el-GR" w:eastAsia="el-GR"/>
        </w:rPr>
      </w:pPr>
    </w:p>
    <w:p w:rsidR="007B21A0" w:rsidRDefault="007B21A0" w:rsidP="009A3CA9">
      <w:pPr>
        <w:jc w:val="both"/>
        <w:rPr>
          <w:rFonts w:ascii="Verdana" w:hAnsi="Verdana"/>
          <w:noProof/>
          <w:sz w:val="20"/>
          <w:lang w:val="el-GR" w:eastAsia="el-GR"/>
        </w:rPr>
      </w:pPr>
    </w:p>
    <w:p w:rsidR="007B21A0" w:rsidRDefault="007B21A0" w:rsidP="009A3CA9">
      <w:pPr>
        <w:jc w:val="both"/>
        <w:rPr>
          <w:rFonts w:ascii="Verdana" w:hAnsi="Verdana"/>
          <w:noProof/>
          <w:sz w:val="20"/>
          <w:lang w:val="el-GR" w:eastAsia="el-GR"/>
        </w:rPr>
      </w:pPr>
    </w:p>
    <w:p w:rsidR="007B21A0" w:rsidRDefault="007B21A0"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5E43B5" w:rsidP="009A3CA9">
      <w:pPr>
        <w:jc w:val="both"/>
        <w:rPr>
          <w:rFonts w:ascii="Verdana" w:hAnsi="Verdana"/>
          <w:noProof/>
          <w:sz w:val="20"/>
          <w:lang w:val="el-GR" w:eastAsia="el-GR"/>
        </w:rPr>
      </w:pPr>
      <w:r>
        <w:rPr>
          <w:noProof/>
          <w:lang w:val="el-GR" w:eastAsia="el-GR"/>
        </w:rPr>
        <w:drawing>
          <wp:inline distT="0" distB="0" distL="0" distR="0" wp14:anchorId="557AB45F" wp14:editId="5F668C42">
            <wp:extent cx="5734050" cy="6076950"/>
            <wp:effectExtent l="0" t="0" r="0" b="0"/>
            <wp:docPr id="5"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E43B5" w:rsidRDefault="005E43B5" w:rsidP="005E43B5">
      <w:pPr>
        <w:jc w:val="both"/>
        <w:rPr>
          <w:rFonts w:ascii="Verdana" w:hAnsi="Verdana"/>
          <w:i/>
          <w:noProof/>
          <w:sz w:val="16"/>
          <w:lang w:val="el-GR" w:eastAsia="el-GR"/>
        </w:rPr>
      </w:pPr>
      <w:r w:rsidRPr="00013B95">
        <w:rPr>
          <w:rFonts w:ascii="Verdana" w:hAnsi="Verdana"/>
          <w:i/>
          <w:noProof/>
          <w:sz w:val="16"/>
          <w:lang w:val="el-GR" w:eastAsia="el-GR"/>
        </w:rPr>
        <w:t xml:space="preserve">Πηγή: </w:t>
      </w:r>
      <w:r>
        <w:rPr>
          <w:rFonts w:ascii="Verdana" w:hAnsi="Verdana"/>
          <w:i/>
          <w:noProof/>
          <w:sz w:val="16"/>
          <w:lang w:val="el-GR" w:eastAsia="el-GR"/>
        </w:rPr>
        <w:t>e</w:t>
      </w:r>
      <w:r>
        <w:rPr>
          <w:rFonts w:ascii="Verdana" w:hAnsi="Verdana"/>
          <w:i/>
          <w:noProof/>
          <w:sz w:val="16"/>
          <w:lang w:val="en-US" w:eastAsia="el-GR"/>
        </w:rPr>
        <w:t>CORDA</w:t>
      </w:r>
      <w:r>
        <w:rPr>
          <w:rFonts w:ascii="Verdana" w:hAnsi="Verdana"/>
          <w:i/>
          <w:noProof/>
          <w:sz w:val="16"/>
          <w:lang w:val="el-GR" w:eastAsia="el-GR"/>
        </w:rPr>
        <w:t>/Ιούλιος 2016, επεξεργασία στοιχείων</w:t>
      </w:r>
      <w:r w:rsidR="0006061C">
        <w:rPr>
          <w:rFonts w:ascii="Verdana" w:hAnsi="Verdana"/>
          <w:i/>
          <w:noProof/>
          <w:sz w:val="16"/>
          <w:lang w:val="el-GR" w:eastAsia="el-GR"/>
        </w:rPr>
        <w:t>:</w:t>
      </w:r>
      <w:r>
        <w:rPr>
          <w:rFonts w:ascii="Verdana" w:hAnsi="Verdana"/>
          <w:i/>
          <w:noProof/>
          <w:sz w:val="16"/>
          <w:lang w:val="el-GR" w:eastAsia="el-GR"/>
        </w:rPr>
        <w:t xml:space="preserve"> Εθνικό Κέντρο Τεκμηρίωσης</w:t>
      </w:r>
    </w:p>
    <w:p w:rsidR="00F53011" w:rsidRDefault="00F53011" w:rsidP="005E43B5">
      <w:pPr>
        <w:jc w:val="both"/>
        <w:rPr>
          <w:rFonts w:ascii="Verdana" w:hAnsi="Verdana"/>
          <w:i/>
          <w:noProof/>
          <w:sz w:val="16"/>
          <w:lang w:val="el-GR" w:eastAsia="el-GR"/>
        </w:rPr>
      </w:pPr>
    </w:p>
    <w:p w:rsidR="00F53011" w:rsidRPr="000D7AA3" w:rsidRDefault="00F53011" w:rsidP="005E43B5">
      <w:pPr>
        <w:jc w:val="both"/>
        <w:rPr>
          <w:rFonts w:ascii="Verdana" w:hAnsi="Verdana"/>
          <w:i/>
          <w:noProof/>
          <w:sz w:val="16"/>
          <w:lang w:val="el-GR" w:eastAsia="el-GR"/>
        </w:rPr>
      </w:pPr>
      <w:r>
        <w:rPr>
          <w:rFonts w:ascii="Verdana" w:hAnsi="Verdana"/>
          <w:i/>
          <w:noProof/>
          <w:sz w:val="16"/>
          <w:lang w:val="el-GR" w:eastAsia="el-GR"/>
        </w:rPr>
        <w:tab/>
      </w: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5E43B5" w:rsidRDefault="005E43B5">
      <w:pPr>
        <w:rPr>
          <w:rFonts w:ascii="Verdana" w:hAnsi="Verdana"/>
          <w:noProof/>
          <w:sz w:val="20"/>
          <w:lang w:val="el-GR" w:eastAsia="el-GR"/>
        </w:rPr>
      </w:pPr>
      <w:r>
        <w:rPr>
          <w:rFonts w:ascii="Verdana" w:hAnsi="Verdana"/>
          <w:noProof/>
          <w:sz w:val="20"/>
          <w:lang w:val="el-GR" w:eastAsia="el-GR"/>
        </w:rPr>
        <w:br w:type="page"/>
      </w:r>
    </w:p>
    <w:p w:rsidR="00800C35" w:rsidRPr="008B36F4" w:rsidRDefault="005E43B5" w:rsidP="009A3CA9">
      <w:pPr>
        <w:jc w:val="both"/>
        <w:rPr>
          <w:rFonts w:ascii="Verdana" w:hAnsi="Verdana"/>
          <w:noProof/>
          <w:sz w:val="20"/>
          <w:lang w:val="en-US" w:eastAsia="el-GR"/>
        </w:rPr>
      </w:pPr>
      <w:r w:rsidRPr="005E43B5">
        <w:rPr>
          <w:noProof/>
          <w:lang w:val="el-GR" w:eastAsia="el-GR"/>
        </w:rPr>
        <w:lastRenderedPageBreak/>
        <w:t xml:space="preserve"> </w:t>
      </w:r>
      <w:r>
        <w:rPr>
          <w:noProof/>
          <w:lang w:val="el-GR" w:eastAsia="el-GR"/>
        </w:rPr>
        <w:drawing>
          <wp:inline distT="0" distB="0" distL="0" distR="0" wp14:anchorId="0E7FA64B" wp14:editId="41B5ADE9">
            <wp:extent cx="6187440" cy="4754880"/>
            <wp:effectExtent l="0" t="0" r="3810" b="7620"/>
            <wp:docPr id="8"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0C35" w:rsidRDefault="00800C35" w:rsidP="009A3CA9">
      <w:pPr>
        <w:jc w:val="both"/>
        <w:rPr>
          <w:rFonts w:ascii="Verdana" w:hAnsi="Verdana"/>
          <w:noProof/>
          <w:sz w:val="20"/>
          <w:lang w:val="el-GR" w:eastAsia="el-GR"/>
        </w:rPr>
      </w:pPr>
    </w:p>
    <w:p w:rsidR="005E43B5" w:rsidRPr="000D7AA3" w:rsidRDefault="005E43B5" w:rsidP="005E43B5">
      <w:pPr>
        <w:jc w:val="both"/>
        <w:rPr>
          <w:rFonts w:ascii="Verdana" w:hAnsi="Verdana"/>
          <w:i/>
          <w:noProof/>
          <w:sz w:val="16"/>
          <w:lang w:val="el-GR" w:eastAsia="el-GR"/>
        </w:rPr>
      </w:pPr>
      <w:r w:rsidRPr="00013B95">
        <w:rPr>
          <w:rFonts w:ascii="Verdana" w:hAnsi="Verdana"/>
          <w:i/>
          <w:noProof/>
          <w:sz w:val="16"/>
          <w:lang w:val="el-GR" w:eastAsia="el-GR"/>
        </w:rPr>
        <w:t xml:space="preserve">Πηγή: </w:t>
      </w:r>
      <w:r>
        <w:rPr>
          <w:rFonts w:ascii="Verdana" w:hAnsi="Verdana"/>
          <w:i/>
          <w:noProof/>
          <w:sz w:val="16"/>
          <w:lang w:val="el-GR" w:eastAsia="el-GR"/>
        </w:rPr>
        <w:t>e</w:t>
      </w:r>
      <w:r>
        <w:rPr>
          <w:rFonts w:ascii="Verdana" w:hAnsi="Verdana"/>
          <w:i/>
          <w:noProof/>
          <w:sz w:val="16"/>
          <w:lang w:val="en-US" w:eastAsia="el-GR"/>
        </w:rPr>
        <w:t>CORDA</w:t>
      </w:r>
      <w:r>
        <w:rPr>
          <w:rFonts w:ascii="Verdana" w:hAnsi="Verdana"/>
          <w:i/>
          <w:noProof/>
          <w:sz w:val="16"/>
          <w:lang w:val="el-GR" w:eastAsia="el-GR"/>
        </w:rPr>
        <w:t>/Ιούλιος 2016, επεξεργασία στοιχείων</w:t>
      </w:r>
      <w:r w:rsidR="0006061C">
        <w:rPr>
          <w:rFonts w:ascii="Verdana" w:hAnsi="Verdana"/>
          <w:i/>
          <w:noProof/>
          <w:sz w:val="16"/>
          <w:lang w:val="el-GR" w:eastAsia="el-GR"/>
        </w:rPr>
        <w:t>:</w:t>
      </w:r>
      <w:r>
        <w:rPr>
          <w:rFonts w:ascii="Verdana" w:hAnsi="Verdana"/>
          <w:i/>
          <w:noProof/>
          <w:sz w:val="16"/>
          <w:lang w:val="el-GR" w:eastAsia="el-GR"/>
        </w:rPr>
        <w:t xml:space="preserve"> Εθνικό Κέντρο Τεκμηρίωσης</w:t>
      </w:r>
    </w:p>
    <w:p w:rsidR="00800C35" w:rsidRDefault="00800C35" w:rsidP="009A3CA9">
      <w:pPr>
        <w:jc w:val="both"/>
        <w:rPr>
          <w:rFonts w:ascii="Verdana" w:hAnsi="Verdana"/>
          <w:noProof/>
          <w:sz w:val="20"/>
          <w:lang w:val="el-GR" w:eastAsia="el-GR"/>
        </w:rPr>
      </w:pPr>
    </w:p>
    <w:p w:rsidR="005E43B5" w:rsidRDefault="005E43B5">
      <w:pPr>
        <w:rPr>
          <w:rFonts w:ascii="Verdana" w:hAnsi="Verdana"/>
          <w:noProof/>
          <w:sz w:val="20"/>
          <w:lang w:val="el-GR" w:eastAsia="el-GR"/>
        </w:rPr>
      </w:pPr>
      <w:r>
        <w:rPr>
          <w:rFonts w:ascii="Verdana" w:hAnsi="Verdana"/>
          <w:noProof/>
          <w:sz w:val="20"/>
          <w:lang w:val="el-GR" w:eastAsia="el-GR"/>
        </w:rPr>
        <w:br w:type="page"/>
      </w:r>
    </w:p>
    <w:p w:rsidR="007B21A0" w:rsidRDefault="007B21A0">
      <w:pPr>
        <w:rPr>
          <w:rFonts w:ascii="Verdana" w:hAnsi="Verdana"/>
          <w:noProof/>
          <w:sz w:val="20"/>
          <w:lang w:val="el-GR" w:eastAsia="el-GR"/>
        </w:rPr>
      </w:pPr>
    </w:p>
    <w:p w:rsidR="005E43B5" w:rsidRDefault="005E43B5" w:rsidP="009A3CA9">
      <w:pPr>
        <w:jc w:val="both"/>
        <w:rPr>
          <w:rFonts w:ascii="Verdana" w:hAnsi="Verdana"/>
          <w:noProof/>
          <w:sz w:val="20"/>
          <w:lang w:val="el-GR" w:eastAsia="el-GR"/>
        </w:rPr>
      </w:pPr>
      <w:r>
        <w:rPr>
          <w:noProof/>
          <w:lang w:val="el-GR" w:eastAsia="el-GR"/>
        </w:rPr>
        <w:drawing>
          <wp:inline distT="0" distB="0" distL="0" distR="0" wp14:anchorId="1BF50746" wp14:editId="6D8C8EE0">
            <wp:extent cx="6019800" cy="4991100"/>
            <wp:effectExtent l="0" t="0" r="0" b="0"/>
            <wp:docPr id="10"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E43B5" w:rsidRPr="000D7AA3" w:rsidRDefault="005E43B5" w:rsidP="005E43B5">
      <w:pPr>
        <w:jc w:val="both"/>
        <w:rPr>
          <w:rFonts w:ascii="Verdana" w:hAnsi="Verdana"/>
          <w:i/>
          <w:noProof/>
          <w:sz w:val="16"/>
          <w:lang w:val="el-GR" w:eastAsia="el-GR"/>
        </w:rPr>
      </w:pPr>
      <w:r w:rsidRPr="00013B95">
        <w:rPr>
          <w:rFonts w:ascii="Verdana" w:hAnsi="Verdana"/>
          <w:i/>
          <w:noProof/>
          <w:sz w:val="16"/>
          <w:lang w:val="el-GR" w:eastAsia="el-GR"/>
        </w:rPr>
        <w:t xml:space="preserve">Πηγή: </w:t>
      </w:r>
      <w:r>
        <w:rPr>
          <w:rFonts w:ascii="Verdana" w:hAnsi="Verdana"/>
          <w:i/>
          <w:noProof/>
          <w:sz w:val="16"/>
          <w:lang w:val="el-GR" w:eastAsia="el-GR"/>
        </w:rPr>
        <w:t>e</w:t>
      </w:r>
      <w:r>
        <w:rPr>
          <w:rFonts w:ascii="Verdana" w:hAnsi="Verdana"/>
          <w:i/>
          <w:noProof/>
          <w:sz w:val="16"/>
          <w:lang w:val="en-US" w:eastAsia="el-GR"/>
        </w:rPr>
        <w:t>CORDA</w:t>
      </w:r>
      <w:r>
        <w:rPr>
          <w:rFonts w:ascii="Verdana" w:hAnsi="Verdana"/>
          <w:i/>
          <w:noProof/>
          <w:sz w:val="16"/>
          <w:lang w:val="el-GR" w:eastAsia="el-GR"/>
        </w:rPr>
        <w:t>/Ιούλιος 2016, επεξεργασία στοιχείων</w:t>
      </w:r>
      <w:r w:rsidR="0006061C">
        <w:rPr>
          <w:rFonts w:ascii="Verdana" w:hAnsi="Verdana"/>
          <w:i/>
          <w:noProof/>
          <w:sz w:val="16"/>
          <w:lang w:val="el-GR" w:eastAsia="el-GR"/>
        </w:rPr>
        <w:t>:</w:t>
      </w:r>
      <w:r>
        <w:rPr>
          <w:rFonts w:ascii="Verdana" w:hAnsi="Verdana"/>
          <w:i/>
          <w:noProof/>
          <w:sz w:val="16"/>
          <w:lang w:val="el-GR" w:eastAsia="el-GR"/>
        </w:rPr>
        <w:t xml:space="preserve"> Εθνικό Κέντρο Τεκμηρίωσης</w:t>
      </w: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800C35" w:rsidRDefault="00800C35" w:rsidP="009A3CA9">
      <w:pPr>
        <w:jc w:val="both"/>
        <w:rPr>
          <w:rFonts w:ascii="Verdana" w:hAnsi="Verdana"/>
          <w:noProof/>
          <w:sz w:val="20"/>
          <w:lang w:val="el-GR" w:eastAsia="el-GR"/>
        </w:rPr>
      </w:pPr>
    </w:p>
    <w:p w:rsidR="00EF0419" w:rsidRDefault="00EF0419" w:rsidP="009A3CA9">
      <w:pPr>
        <w:jc w:val="both"/>
        <w:rPr>
          <w:rFonts w:ascii="Verdana" w:hAnsi="Verdana"/>
          <w:noProof/>
          <w:lang w:val="el-GR" w:eastAsia="el-GR"/>
        </w:rPr>
      </w:pPr>
    </w:p>
    <w:p w:rsidR="00EF0419" w:rsidRDefault="00EF0419" w:rsidP="009A3CA9">
      <w:pPr>
        <w:jc w:val="both"/>
        <w:rPr>
          <w:rFonts w:ascii="Verdana" w:hAnsi="Verdana"/>
          <w:noProof/>
          <w:lang w:val="el-GR" w:eastAsia="el-GR"/>
        </w:rPr>
      </w:pPr>
    </w:p>
    <w:p w:rsidR="00EF0419" w:rsidRDefault="00EF0419" w:rsidP="009A3CA9">
      <w:pPr>
        <w:jc w:val="both"/>
        <w:rPr>
          <w:rFonts w:ascii="Verdana" w:hAnsi="Verdana"/>
          <w:noProof/>
          <w:lang w:val="el-GR" w:eastAsia="el-GR"/>
        </w:rPr>
      </w:pPr>
    </w:p>
    <w:p w:rsidR="00EF0419" w:rsidRDefault="00EF0419" w:rsidP="009A3CA9">
      <w:pPr>
        <w:jc w:val="both"/>
        <w:rPr>
          <w:rFonts w:ascii="Verdana" w:hAnsi="Verdana"/>
          <w:noProof/>
          <w:lang w:val="el-GR" w:eastAsia="el-GR"/>
        </w:rPr>
      </w:pPr>
    </w:p>
    <w:p w:rsidR="00DA1748" w:rsidRDefault="00DA1748">
      <w:pPr>
        <w:rPr>
          <w:rFonts w:ascii="Verdana" w:hAnsi="Verdana"/>
          <w:noProof/>
          <w:lang w:val="el-GR" w:eastAsia="el-GR"/>
        </w:rPr>
      </w:pPr>
      <w:r>
        <w:rPr>
          <w:rFonts w:ascii="Verdana" w:hAnsi="Verdana"/>
          <w:noProof/>
          <w:lang w:val="el-GR" w:eastAsia="el-GR"/>
        </w:rPr>
        <w:br w:type="page"/>
      </w:r>
    </w:p>
    <w:p w:rsidR="00DA1748" w:rsidRPr="000D7AA3" w:rsidRDefault="00DA1748" w:rsidP="00DA1748">
      <w:pPr>
        <w:jc w:val="both"/>
        <w:rPr>
          <w:rFonts w:ascii="Verdana" w:hAnsi="Verdana"/>
          <w:i/>
          <w:noProof/>
          <w:sz w:val="16"/>
          <w:lang w:val="el-GR" w:eastAsia="el-GR"/>
        </w:rPr>
      </w:pPr>
      <w:r>
        <w:rPr>
          <w:noProof/>
          <w:lang w:val="el-GR" w:eastAsia="el-GR"/>
        </w:rPr>
        <w:lastRenderedPageBreak/>
        <w:drawing>
          <wp:inline distT="0" distB="0" distL="0" distR="0" wp14:anchorId="2F34B7B5" wp14:editId="462FA407">
            <wp:extent cx="5848350" cy="4057650"/>
            <wp:effectExtent l="0" t="0" r="0" b="0"/>
            <wp:docPr id="11" name="Γράφημα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DA1748">
        <w:rPr>
          <w:rFonts w:ascii="Verdana" w:hAnsi="Verdana"/>
          <w:i/>
          <w:noProof/>
          <w:sz w:val="16"/>
          <w:lang w:val="el-GR" w:eastAsia="el-GR"/>
        </w:rPr>
        <w:t xml:space="preserve"> </w:t>
      </w:r>
      <w:r w:rsidRPr="00013B95">
        <w:rPr>
          <w:rFonts w:ascii="Verdana" w:hAnsi="Verdana"/>
          <w:i/>
          <w:noProof/>
          <w:sz w:val="16"/>
          <w:lang w:val="el-GR" w:eastAsia="el-GR"/>
        </w:rPr>
        <w:t xml:space="preserve">Πηγή: </w:t>
      </w:r>
      <w:r>
        <w:rPr>
          <w:rFonts w:ascii="Verdana" w:hAnsi="Verdana"/>
          <w:i/>
          <w:noProof/>
          <w:sz w:val="16"/>
          <w:lang w:val="el-GR" w:eastAsia="el-GR"/>
        </w:rPr>
        <w:t>e</w:t>
      </w:r>
      <w:r>
        <w:rPr>
          <w:rFonts w:ascii="Verdana" w:hAnsi="Verdana"/>
          <w:i/>
          <w:noProof/>
          <w:sz w:val="16"/>
          <w:lang w:val="en-US" w:eastAsia="el-GR"/>
        </w:rPr>
        <w:t>CORDA</w:t>
      </w:r>
      <w:r>
        <w:rPr>
          <w:rFonts w:ascii="Verdana" w:hAnsi="Verdana"/>
          <w:i/>
          <w:noProof/>
          <w:sz w:val="16"/>
          <w:lang w:val="el-GR" w:eastAsia="el-GR"/>
        </w:rPr>
        <w:t>/Ιούλιος 2016, επεξεργασία στοιχείων</w:t>
      </w:r>
      <w:r w:rsidR="0006061C">
        <w:rPr>
          <w:rFonts w:ascii="Verdana" w:hAnsi="Verdana"/>
          <w:i/>
          <w:noProof/>
          <w:sz w:val="16"/>
          <w:lang w:val="el-GR" w:eastAsia="el-GR"/>
        </w:rPr>
        <w:t>:</w:t>
      </w:r>
      <w:r>
        <w:rPr>
          <w:rFonts w:ascii="Verdana" w:hAnsi="Verdana"/>
          <w:i/>
          <w:noProof/>
          <w:sz w:val="16"/>
          <w:lang w:val="el-GR" w:eastAsia="el-GR"/>
        </w:rPr>
        <w:t xml:space="preserve"> Εθνικό Κέντρο Τεκμηρίωσης</w:t>
      </w:r>
    </w:p>
    <w:p w:rsidR="00EF0419" w:rsidRDefault="00EF0419" w:rsidP="009A3CA9">
      <w:pPr>
        <w:jc w:val="both"/>
        <w:rPr>
          <w:rFonts w:ascii="Verdana" w:hAnsi="Verdana"/>
          <w:noProof/>
          <w:lang w:val="el-GR" w:eastAsia="el-GR"/>
        </w:rPr>
      </w:pPr>
    </w:p>
    <w:sectPr w:rsidR="00EF0419">
      <w:headerReference w:type="even" r:id="rId19"/>
      <w:headerReference w:type="default" r:id="rId20"/>
      <w:footerReference w:type="even" r:id="rId21"/>
      <w:footerReference w:type="default" r:id="rId22"/>
      <w:headerReference w:type="first" r:id="rId23"/>
      <w:footerReference w:type="first" r:id="rId24"/>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2BF" w:rsidRDefault="006A52BF">
      <w:r>
        <w:separator/>
      </w:r>
    </w:p>
  </w:endnote>
  <w:endnote w:type="continuationSeparator" w:id="0">
    <w:p w:rsidR="006A52BF" w:rsidRDefault="006A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9D" w:rsidRDefault="003D54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9D" w:rsidRPr="00575310" w:rsidRDefault="003D549D"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3D549D" w:rsidRPr="00147A16" w:rsidRDefault="003D549D" w:rsidP="00147A16">
    <w:pPr>
      <w:pStyle w:val="a4"/>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9D" w:rsidRDefault="003D54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2BF" w:rsidRDefault="006A52BF">
      <w:r>
        <w:separator/>
      </w:r>
    </w:p>
  </w:footnote>
  <w:footnote w:type="continuationSeparator" w:id="0">
    <w:p w:rsidR="006A52BF" w:rsidRDefault="006A5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9D" w:rsidRDefault="003D54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9D" w:rsidRDefault="003D549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9D" w:rsidRDefault="003D54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C3429"/>
    <w:multiLevelType w:val="hybridMultilevel"/>
    <w:tmpl w:val="A71A4196"/>
    <w:lvl w:ilvl="0" w:tplc="0216613A">
      <w:numFmt w:val="bullet"/>
      <w:lvlText w:val="•"/>
      <w:lvlJc w:val="left"/>
      <w:pPr>
        <w:ind w:left="294" w:hanging="720"/>
      </w:pPr>
      <w:rPr>
        <w:rFonts w:ascii="Verdana" w:eastAsia="Times New Roman" w:hAnsi="Verdana"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3">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4">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AEE4990"/>
    <w:multiLevelType w:val="hybridMultilevel"/>
    <w:tmpl w:val="9D36A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0">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5792152"/>
    <w:multiLevelType w:val="hybridMultilevel"/>
    <w:tmpl w:val="F51CC968"/>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5">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A783DC7"/>
    <w:multiLevelType w:val="hybridMultilevel"/>
    <w:tmpl w:val="9D625D66"/>
    <w:lvl w:ilvl="0" w:tplc="0216613A">
      <w:numFmt w:val="bullet"/>
      <w:lvlText w:val="•"/>
      <w:lvlJc w:val="left"/>
      <w:pPr>
        <w:ind w:left="349" w:hanging="720"/>
      </w:pPr>
      <w:rPr>
        <w:rFonts w:ascii="Verdana" w:eastAsia="Times New Roman" w:hAnsi="Verdana" w:cs="Times New Roman" w:hint="default"/>
      </w:rPr>
    </w:lvl>
    <w:lvl w:ilvl="1" w:tplc="04080003" w:tentative="1">
      <w:start w:val="1"/>
      <w:numFmt w:val="bullet"/>
      <w:lvlText w:val="o"/>
      <w:lvlJc w:val="left"/>
      <w:pPr>
        <w:ind w:left="709" w:hanging="360"/>
      </w:pPr>
      <w:rPr>
        <w:rFonts w:ascii="Courier New" w:hAnsi="Courier New" w:cs="Courier New" w:hint="default"/>
      </w:rPr>
    </w:lvl>
    <w:lvl w:ilvl="2" w:tplc="04080005" w:tentative="1">
      <w:start w:val="1"/>
      <w:numFmt w:val="bullet"/>
      <w:lvlText w:val=""/>
      <w:lvlJc w:val="left"/>
      <w:pPr>
        <w:ind w:left="1429" w:hanging="360"/>
      </w:pPr>
      <w:rPr>
        <w:rFonts w:ascii="Wingdings" w:hAnsi="Wingdings" w:hint="default"/>
      </w:rPr>
    </w:lvl>
    <w:lvl w:ilvl="3" w:tplc="04080001" w:tentative="1">
      <w:start w:val="1"/>
      <w:numFmt w:val="bullet"/>
      <w:lvlText w:val=""/>
      <w:lvlJc w:val="left"/>
      <w:pPr>
        <w:ind w:left="2149" w:hanging="360"/>
      </w:pPr>
      <w:rPr>
        <w:rFonts w:ascii="Symbol" w:hAnsi="Symbol" w:hint="default"/>
      </w:rPr>
    </w:lvl>
    <w:lvl w:ilvl="4" w:tplc="04080003" w:tentative="1">
      <w:start w:val="1"/>
      <w:numFmt w:val="bullet"/>
      <w:lvlText w:val="o"/>
      <w:lvlJc w:val="left"/>
      <w:pPr>
        <w:ind w:left="2869" w:hanging="360"/>
      </w:pPr>
      <w:rPr>
        <w:rFonts w:ascii="Courier New" w:hAnsi="Courier New" w:cs="Courier New" w:hint="default"/>
      </w:rPr>
    </w:lvl>
    <w:lvl w:ilvl="5" w:tplc="04080005" w:tentative="1">
      <w:start w:val="1"/>
      <w:numFmt w:val="bullet"/>
      <w:lvlText w:val=""/>
      <w:lvlJc w:val="left"/>
      <w:pPr>
        <w:ind w:left="3589" w:hanging="360"/>
      </w:pPr>
      <w:rPr>
        <w:rFonts w:ascii="Wingdings" w:hAnsi="Wingdings" w:hint="default"/>
      </w:rPr>
    </w:lvl>
    <w:lvl w:ilvl="6" w:tplc="04080001" w:tentative="1">
      <w:start w:val="1"/>
      <w:numFmt w:val="bullet"/>
      <w:lvlText w:val=""/>
      <w:lvlJc w:val="left"/>
      <w:pPr>
        <w:ind w:left="4309" w:hanging="360"/>
      </w:pPr>
      <w:rPr>
        <w:rFonts w:ascii="Symbol" w:hAnsi="Symbol" w:hint="default"/>
      </w:rPr>
    </w:lvl>
    <w:lvl w:ilvl="7" w:tplc="04080003" w:tentative="1">
      <w:start w:val="1"/>
      <w:numFmt w:val="bullet"/>
      <w:lvlText w:val="o"/>
      <w:lvlJc w:val="left"/>
      <w:pPr>
        <w:ind w:left="5029" w:hanging="360"/>
      </w:pPr>
      <w:rPr>
        <w:rFonts w:ascii="Courier New" w:hAnsi="Courier New" w:cs="Courier New" w:hint="default"/>
      </w:rPr>
    </w:lvl>
    <w:lvl w:ilvl="8" w:tplc="04080005" w:tentative="1">
      <w:start w:val="1"/>
      <w:numFmt w:val="bullet"/>
      <w:lvlText w:val=""/>
      <w:lvlJc w:val="left"/>
      <w:pPr>
        <w:ind w:left="5749" w:hanging="360"/>
      </w:pPr>
      <w:rPr>
        <w:rFonts w:ascii="Wingdings" w:hAnsi="Wingdings" w:hint="default"/>
      </w:rPr>
    </w:lvl>
  </w:abstractNum>
  <w:abstractNum w:abstractNumId="17">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8">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86F1634"/>
    <w:multiLevelType w:val="multilevel"/>
    <w:tmpl w:val="0EE6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A61F33"/>
    <w:multiLevelType w:val="hybridMultilevel"/>
    <w:tmpl w:val="7D1E8DB6"/>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0"/>
  </w:num>
  <w:num w:numId="4">
    <w:abstractNumId w:val="4"/>
  </w:num>
  <w:num w:numId="5">
    <w:abstractNumId w:val="3"/>
  </w:num>
  <w:num w:numId="6">
    <w:abstractNumId w:val="26"/>
  </w:num>
  <w:num w:numId="7">
    <w:abstractNumId w:val="9"/>
  </w:num>
  <w:num w:numId="8">
    <w:abstractNumId w:val="17"/>
  </w:num>
  <w:num w:numId="9">
    <w:abstractNumId w:val="31"/>
  </w:num>
  <w:num w:numId="10">
    <w:abstractNumId w:val="12"/>
  </w:num>
  <w:num w:numId="11">
    <w:abstractNumId w:val="1"/>
  </w:num>
  <w:num w:numId="12">
    <w:abstractNumId w:val="18"/>
  </w:num>
  <w:num w:numId="13">
    <w:abstractNumId w:val="24"/>
  </w:num>
  <w:num w:numId="14">
    <w:abstractNumId w:val="28"/>
  </w:num>
  <w:num w:numId="15">
    <w:abstractNumId w:val="7"/>
  </w:num>
  <w:num w:numId="16">
    <w:abstractNumId w:val="14"/>
  </w:num>
  <w:num w:numId="17">
    <w:abstractNumId w:val="8"/>
  </w:num>
  <w:num w:numId="18">
    <w:abstractNumId w:val="19"/>
  </w:num>
  <w:num w:numId="19">
    <w:abstractNumId w:val="27"/>
  </w:num>
  <w:num w:numId="20">
    <w:abstractNumId w:val="10"/>
  </w:num>
  <w:num w:numId="21">
    <w:abstractNumId w:val="15"/>
  </w:num>
  <w:num w:numId="22">
    <w:abstractNumId w:val="20"/>
  </w:num>
  <w:num w:numId="23">
    <w:abstractNumId w:val="32"/>
  </w:num>
  <w:num w:numId="24">
    <w:abstractNumId w:val="34"/>
  </w:num>
  <w:num w:numId="25">
    <w:abstractNumId w:val="23"/>
  </w:num>
  <w:num w:numId="26">
    <w:abstractNumId w:val="30"/>
  </w:num>
  <w:num w:numId="27">
    <w:abstractNumId w:val="33"/>
  </w:num>
  <w:num w:numId="28">
    <w:abstractNumId w:val="25"/>
  </w:num>
  <w:num w:numId="29">
    <w:abstractNumId w:val="29"/>
  </w:num>
  <w:num w:numId="30">
    <w:abstractNumId w:val="5"/>
  </w:num>
  <w:num w:numId="31">
    <w:abstractNumId w:val="22"/>
  </w:num>
  <w:num w:numId="32">
    <w:abstractNumId w:val="13"/>
  </w:num>
  <w:num w:numId="33">
    <w:abstractNumId w:val="2"/>
  </w:num>
  <w:num w:numId="34">
    <w:abstractNumId w:val="1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52"/>
    <w:rsid w:val="00000087"/>
    <w:rsid w:val="0000048D"/>
    <w:rsid w:val="00002242"/>
    <w:rsid w:val="00002455"/>
    <w:rsid w:val="00002542"/>
    <w:rsid w:val="00003296"/>
    <w:rsid w:val="00003FF0"/>
    <w:rsid w:val="0000705D"/>
    <w:rsid w:val="00012928"/>
    <w:rsid w:val="0001385B"/>
    <w:rsid w:val="000152DD"/>
    <w:rsid w:val="000166AD"/>
    <w:rsid w:val="00016D02"/>
    <w:rsid w:val="00016E3D"/>
    <w:rsid w:val="0001710A"/>
    <w:rsid w:val="00020C77"/>
    <w:rsid w:val="00024C5E"/>
    <w:rsid w:val="000255BC"/>
    <w:rsid w:val="0002734F"/>
    <w:rsid w:val="000275F9"/>
    <w:rsid w:val="00031A8A"/>
    <w:rsid w:val="00034914"/>
    <w:rsid w:val="000402EA"/>
    <w:rsid w:val="00041550"/>
    <w:rsid w:val="00041F36"/>
    <w:rsid w:val="000420C9"/>
    <w:rsid w:val="00043FA0"/>
    <w:rsid w:val="000454CD"/>
    <w:rsid w:val="00046C31"/>
    <w:rsid w:val="00047621"/>
    <w:rsid w:val="000477BD"/>
    <w:rsid w:val="00047968"/>
    <w:rsid w:val="0005001C"/>
    <w:rsid w:val="000503F8"/>
    <w:rsid w:val="00051A78"/>
    <w:rsid w:val="00051E68"/>
    <w:rsid w:val="00055AC2"/>
    <w:rsid w:val="000561FF"/>
    <w:rsid w:val="0006061C"/>
    <w:rsid w:val="00060DDE"/>
    <w:rsid w:val="000610F8"/>
    <w:rsid w:val="000616BB"/>
    <w:rsid w:val="00066324"/>
    <w:rsid w:val="0006762D"/>
    <w:rsid w:val="00071345"/>
    <w:rsid w:val="000728AD"/>
    <w:rsid w:val="000760C7"/>
    <w:rsid w:val="0007665B"/>
    <w:rsid w:val="00077B41"/>
    <w:rsid w:val="00077C41"/>
    <w:rsid w:val="0008151F"/>
    <w:rsid w:val="000832FB"/>
    <w:rsid w:val="00083586"/>
    <w:rsid w:val="00083B46"/>
    <w:rsid w:val="00084E4B"/>
    <w:rsid w:val="00085F61"/>
    <w:rsid w:val="00094295"/>
    <w:rsid w:val="00094B23"/>
    <w:rsid w:val="00096E97"/>
    <w:rsid w:val="000974A0"/>
    <w:rsid w:val="000974FA"/>
    <w:rsid w:val="000B1064"/>
    <w:rsid w:val="000B1740"/>
    <w:rsid w:val="000B1A56"/>
    <w:rsid w:val="000B32D7"/>
    <w:rsid w:val="000B51F0"/>
    <w:rsid w:val="000C3354"/>
    <w:rsid w:val="000C730D"/>
    <w:rsid w:val="000C7338"/>
    <w:rsid w:val="000C79A6"/>
    <w:rsid w:val="000D08AE"/>
    <w:rsid w:val="000D0D14"/>
    <w:rsid w:val="000D29C5"/>
    <w:rsid w:val="000D7AA3"/>
    <w:rsid w:val="000E062F"/>
    <w:rsid w:val="000E1809"/>
    <w:rsid w:val="000E41C0"/>
    <w:rsid w:val="000E4639"/>
    <w:rsid w:val="000E7A07"/>
    <w:rsid w:val="000F0094"/>
    <w:rsid w:val="000F5A18"/>
    <w:rsid w:val="00101197"/>
    <w:rsid w:val="00102DF8"/>
    <w:rsid w:val="001045A8"/>
    <w:rsid w:val="001048C3"/>
    <w:rsid w:val="001065D6"/>
    <w:rsid w:val="00107869"/>
    <w:rsid w:val="00107CBA"/>
    <w:rsid w:val="00111165"/>
    <w:rsid w:val="00112539"/>
    <w:rsid w:val="0011624F"/>
    <w:rsid w:val="00116B66"/>
    <w:rsid w:val="00116E7A"/>
    <w:rsid w:val="001174DE"/>
    <w:rsid w:val="0012089C"/>
    <w:rsid w:val="00120F99"/>
    <w:rsid w:val="00121291"/>
    <w:rsid w:val="00125BC2"/>
    <w:rsid w:val="001273D9"/>
    <w:rsid w:val="00127FD0"/>
    <w:rsid w:val="001306C9"/>
    <w:rsid w:val="00131BFA"/>
    <w:rsid w:val="00132707"/>
    <w:rsid w:val="00133268"/>
    <w:rsid w:val="001345C2"/>
    <w:rsid w:val="00140197"/>
    <w:rsid w:val="00141E14"/>
    <w:rsid w:val="00144D9B"/>
    <w:rsid w:val="00147A16"/>
    <w:rsid w:val="001500D9"/>
    <w:rsid w:val="001502EC"/>
    <w:rsid w:val="00151228"/>
    <w:rsid w:val="00151A58"/>
    <w:rsid w:val="00154E74"/>
    <w:rsid w:val="001565B5"/>
    <w:rsid w:val="00157DCF"/>
    <w:rsid w:val="001600EF"/>
    <w:rsid w:val="00162977"/>
    <w:rsid w:val="001630F6"/>
    <w:rsid w:val="001633BD"/>
    <w:rsid w:val="00163E4E"/>
    <w:rsid w:val="00164C28"/>
    <w:rsid w:val="00171373"/>
    <w:rsid w:val="001724B7"/>
    <w:rsid w:val="0017310E"/>
    <w:rsid w:val="00173B17"/>
    <w:rsid w:val="00174D81"/>
    <w:rsid w:val="00174F5C"/>
    <w:rsid w:val="00175088"/>
    <w:rsid w:val="00176D52"/>
    <w:rsid w:val="00177360"/>
    <w:rsid w:val="0017736B"/>
    <w:rsid w:val="00177F34"/>
    <w:rsid w:val="001801F1"/>
    <w:rsid w:val="00182A7D"/>
    <w:rsid w:val="001838EE"/>
    <w:rsid w:val="00184AD9"/>
    <w:rsid w:val="00185521"/>
    <w:rsid w:val="0019027D"/>
    <w:rsid w:val="00190DBA"/>
    <w:rsid w:val="0019343F"/>
    <w:rsid w:val="00193925"/>
    <w:rsid w:val="001A0009"/>
    <w:rsid w:val="001A3158"/>
    <w:rsid w:val="001A5008"/>
    <w:rsid w:val="001A5B95"/>
    <w:rsid w:val="001A5E12"/>
    <w:rsid w:val="001A5FC4"/>
    <w:rsid w:val="001B01B3"/>
    <w:rsid w:val="001B3CDB"/>
    <w:rsid w:val="001B44EC"/>
    <w:rsid w:val="001B6B68"/>
    <w:rsid w:val="001B6DEA"/>
    <w:rsid w:val="001C0C58"/>
    <w:rsid w:val="001C17CA"/>
    <w:rsid w:val="001C26DE"/>
    <w:rsid w:val="001C398F"/>
    <w:rsid w:val="001C4A1F"/>
    <w:rsid w:val="001C5A8B"/>
    <w:rsid w:val="001C666F"/>
    <w:rsid w:val="001C7198"/>
    <w:rsid w:val="001D157F"/>
    <w:rsid w:val="001D6EB7"/>
    <w:rsid w:val="001D7FCF"/>
    <w:rsid w:val="001E17F4"/>
    <w:rsid w:val="001E631E"/>
    <w:rsid w:val="001F0633"/>
    <w:rsid w:val="001F087A"/>
    <w:rsid w:val="001F103A"/>
    <w:rsid w:val="001F1B24"/>
    <w:rsid w:val="001F253F"/>
    <w:rsid w:val="001F3051"/>
    <w:rsid w:val="001F35E5"/>
    <w:rsid w:val="001F6C78"/>
    <w:rsid w:val="00201CB6"/>
    <w:rsid w:val="00202176"/>
    <w:rsid w:val="002027AE"/>
    <w:rsid w:val="00202D32"/>
    <w:rsid w:val="00203D90"/>
    <w:rsid w:val="00204A9B"/>
    <w:rsid w:val="00212209"/>
    <w:rsid w:val="00212A73"/>
    <w:rsid w:val="00212F5B"/>
    <w:rsid w:val="0021507D"/>
    <w:rsid w:val="002152A2"/>
    <w:rsid w:val="0021597F"/>
    <w:rsid w:val="002167CD"/>
    <w:rsid w:val="00221531"/>
    <w:rsid w:val="002227C1"/>
    <w:rsid w:val="0022323C"/>
    <w:rsid w:val="0022344B"/>
    <w:rsid w:val="00224A4A"/>
    <w:rsid w:val="00224A55"/>
    <w:rsid w:val="00226FE2"/>
    <w:rsid w:val="0023337A"/>
    <w:rsid w:val="00233BAA"/>
    <w:rsid w:val="0023609C"/>
    <w:rsid w:val="002374C7"/>
    <w:rsid w:val="0023771B"/>
    <w:rsid w:val="00240449"/>
    <w:rsid w:val="002414E9"/>
    <w:rsid w:val="0024183B"/>
    <w:rsid w:val="00241DB4"/>
    <w:rsid w:val="002446EC"/>
    <w:rsid w:val="00246E3B"/>
    <w:rsid w:val="0024787A"/>
    <w:rsid w:val="00247A6D"/>
    <w:rsid w:val="00247FAD"/>
    <w:rsid w:val="0025135F"/>
    <w:rsid w:val="00251842"/>
    <w:rsid w:val="002552AE"/>
    <w:rsid w:val="002562CB"/>
    <w:rsid w:val="00263DE5"/>
    <w:rsid w:val="00264599"/>
    <w:rsid w:val="00265080"/>
    <w:rsid w:val="00266C40"/>
    <w:rsid w:val="0027308E"/>
    <w:rsid w:val="00275C75"/>
    <w:rsid w:val="00275DFC"/>
    <w:rsid w:val="002813BE"/>
    <w:rsid w:val="00281746"/>
    <w:rsid w:val="00286335"/>
    <w:rsid w:val="00291765"/>
    <w:rsid w:val="00292116"/>
    <w:rsid w:val="0029494A"/>
    <w:rsid w:val="00296316"/>
    <w:rsid w:val="002968EC"/>
    <w:rsid w:val="0029693C"/>
    <w:rsid w:val="002A1EB5"/>
    <w:rsid w:val="002A39C9"/>
    <w:rsid w:val="002A3F30"/>
    <w:rsid w:val="002A48F4"/>
    <w:rsid w:val="002A63EB"/>
    <w:rsid w:val="002B098D"/>
    <w:rsid w:val="002B2192"/>
    <w:rsid w:val="002B50AA"/>
    <w:rsid w:val="002C1C15"/>
    <w:rsid w:val="002C33CD"/>
    <w:rsid w:val="002C6175"/>
    <w:rsid w:val="002C6468"/>
    <w:rsid w:val="002C6B3F"/>
    <w:rsid w:val="002C79CF"/>
    <w:rsid w:val="002D56B1"/>
    <w:rsid w:val="002E28F3"/>
    <w:rsid w:val="002E79E9"/>
    <w:rsid w:val="002E7BB0"/>
    <w:rsid w:val="002F1731"/>
    <w:rsid w:val="002F1CFF"/>
    <w:rsid w:val="002F2A07"/>
    <w:rsid w:val="002F362B"/>
    <w:rsid w:val="002F378C"/>
    <w:rsid w:val="002F3D70"/>
    <w:rsid w:val="002F4017"/>
    <w:rsid w:val="002F5E78"/>
    <w:rsid w:val="002F63CA"/>
    <w:rsid w:val="002F6885"/>
    <w:rsid w:val="002F7C1A"/>
    <w:rsid w:val="00300C02"/>
    <w:rsid w:val="00301C1F"/>
    <w:rsid w:val="0030276E"/>
    <w:rsid w:val="0030360E"/>
    <w:rsid w:val="0030479F"/>
    <w:rsid w:val="00304955"/>
    <w:rsid w:val="0030604A"/>
    <w:rsid w:val="00306F32"/>
    <w:rsid w:val="00307859"/>
    <w:rsid w:val="003078AC"/>
    <w:rsid w:val="0031143D"/>
    <w:rsid w:val="00311A23"/>
    <w:rsid w:val="00312867"/>
    <w:rsid w:val="00313CD0"/>
    <w:rsid w:val="00317256"/>
    <w:rsid w:val="00321F4C"/>
    <w:rsid w:val="00325DD0"/>
    <w:rsid w:val="00326477"/>
    <w:rsid w:val="00333FD1"/>
    <w:rsid w:val="003340FB"/>
    <w:rsid w:val="0033423D"/>
    <w:rsid w:val="00335253"/>
    <w:rsid w:val="00336AEA"/>
    <w:rsid w:val="003411CE"/>
    <w:rsid w:val="003469EB"/>
    <w:rsid w:val="0034781D"/>
    <w:rsid w:val="00347C0D"/>
    <w:rsid w:val="003522B7"/>
    <w:rsid w:val="00352F3B"/>
    <w:rsid w:val="00356874"/>
    <w:rsid w:val="00357B56"/>
    <w:rsid w:val="0036106A"/>
    <w:rsid w:val="003670DE"/>
    <w:rsid w:val="003673D0"/>
    <w:rsid w:val="00367C30"/>
    <w:rsid w:val="00370923"/>
    <w:rsid w:val="00372B8C"/>
    <w:rsid w:val="003733FD"/>
    <w:rsid w:val="003736BA"/>
    <w:rsid w:val="00380053"/>
    <w:rsid w:val="0038203A"/>
    <w:rsid w:val="00384B07"/>
    <w:rsid w:val="00386781"/>
    <w:rsid w:val="00387BAF"/>
    <w:rsid w:val="00392C55"/>
    <w:rsid w:val="00396D69"/>
    <w:rsid w:val="003A04D6"/>
    <w:rsid w:val="003A082D"/>
    <w:rsid w:val="003A0C84"/>
    <w:rsid w:val="003A2F08"/>
    <w:rsid w:val="003A472B"/>
    <w:rsid w:val="003A5BDA"/>
    <w:rsid w:val="003A6543"/>
    <w:rsid w:val="003B0728"/>
    <w:rsid w:val="003B0A97"/>
    <w:rsid w:val="003B1C1A"/>
    <w:rsid w:val="003B1D67"/>
    <w:rsid w:val="003B2792"/>
    <w:rsid w:val="003B3E94"/>
    <w:rsid w:val="003B59F2"/>
    <w:rsid w:val="003B5CEB"/>
    <w:rsid w:val="003B5FA5"/>
    <w:rsid w:val="003B7971"/>
    <w:rsid w:val="003B7E04"/>
    <w:rsid w:val="003C0558"/>
    <w:rsid w:val="003D0EC7"/>
    <w:rsid w:val="003D2CBE"/>
    <w:rsid w:val="003D549D"/>
    <w:rsid w:val="003E0232"/>
    <w:rsid w:val="003E0870"/>
    <w:rsid w:val="003E1378"/>
    <w:rsid w:val="003E1630"/>
    <w:rsid w:val="003E34B7"/>
    <w:rsid w:val="003E3A26"/>
    <w:rsid w:val="003E5336"/>
    <w:rsid w:val="003E7D6C"/>
    <w:rsid w:val="003F5894"/>
    <w:rsid w:val="003F5D62"/>
    <w:rsid w:val="003F61B9"/>
    <w:rsid w:val="003F7DC6"/>
    <w:rsid w:val="00401750"/>
    <w:rsid w:val="004021D8"/>
    <w:rsid w:val="00406C6C"/>
    <w:rsid w:val="004074BC"/>
    <w:rsid w:val="00411B4A"/>
    <w:rsid w:val="0041204A"/>
    <w:rsid w:val="004122B1"/>
    <w:rsid w:val="00415A91"/>
    <w:rsid w:val="004163A3"/>
    <w:rsid w:val="00420543"/>
    <w:rsid w:val="00423CCF"/>
    <w:rsid w:val="004255D5"/>
    <w:rsid w:val="00427A47"/>
    <w:rsid w:val="00430FEE"/>
    <w:rsid w:val="00431CF3"/>
    <w:rsid w:val="00437B5B"/>
    <w:rsid w:val="00443EE2"/>
    <w:rsid w:val="004441E9"/>
    <w:rsid w:val="00444DB5"/>
    <w:rsid w:val="004456A8"/>
    <w:rsid w:val="004457A7"/>
    <w:rsid w:val="00445A25"/>
    <w:rsid w:val="00446B7B"/>
    <w:rsid w:val="00446D66"/>
    <w:rsid w:val="00446F2F"/>
    <w:rsid w:val="004517D9"/>
    <w:rsid w:val="00451E02"/>
    <w:rsid w:val="00452CF5"/>
    <w:rsid w:val="00452F44"/>
    <w:rsid w:val="004556A4"/>
    <w:rsid w:val="0045575A"/>
    <w:rsid w:val="0045671A"/>
    <w:rsid w:val="00461C84"/>
    <w:rsid w:val="00463D96"/>
    <w:rsid w:val="004671D5"/>
    <w:rsid w:val="004674AA"/>
    <w:rsid w:val="00467DC2"/>
    <w:rsid w:val="00472E0D"/>
    <w:rsid w:val="004751B4"/>
    <w:rsid w:val="0047573F"/>
    <w:rsid w:val="0047596A"/>
    <w:rsid w:val="004769AE"/>
    <w:rsid w:val="00476D9F"/>
    <w:rsid w:val="0048012E"/>
    <w:rsid w:val="004804AC"/>
    <w:rsid w:val="004816B7"/>
    <w:rsid w:val="00482544"/>
    <w:rsid w:val="0048290E"/>
    <w:rsid w:val="0048511C"/>
    <w:rsid w:val="004917B1"/>
    <w:rsid w:val="00492A73"/>
    <w:rsid w:val="00492FD2"/>
    <w:rsid w:val="004950E2"/>
    <w:rsid w:val="004A0751"/>
    <w:rsid w:val="004A18F4"/>
    <w:rsid w:val="004A3386"/>
    <w:rsid w:val="004A3542"/>
    <w:rsid w:val="004A71E6"/>
    <w:rsid w:val="004A76BA"/>
    <w:rsid w:val="004A7E08"/>
    <w:rsid w:val="004A7EDA"/>
    <w:rsid w:val="004B0A8F"/>
    <w:rsid w:val="004B12E4"/>
    <w:rsid w:val="004B1711"/>
    <w:rsid w:val="004B2674"/>
    <w:rsid w:val="004B2BB8"/>
    <w:rsid w:val="004B478D"/>
    <w:rsid w:val="004B4873"/>
    <w:rsid w:val="004B6BA1"/>
    <w:rsid w:val="004B7CEA"/>
    <w:rsid w:val="004C0B39"/>
    <w:rsid w:val="004C1782"/>
    <w:rsid w:val="004D1E87"/>
    <w:rsid w:val="004D4336"/>
    <w:rsid w:val="004D6AAB"/>
    <w:rsid w:val="004D7908"/>
    <w:rsid w:val="004E02F7"/>
    <w:rsid w:val="004E22D9"/>
    <w:rsid w:val="004E2636"/>
    <w:rsid w:val="004E3A3F"/>
    <w:rsid w:val="004E4DC3"/>
    <w:rsid w:val="004E61F5"/>
    <w:rsid w:val="004E78A1"/>
    <w:rsid w:val="004F1E1E"/>
    <w:rsid w:val="004F3691"/>
    <w:rsid w:val="004F39BE"/>
    <w:rsid w:val="004F4A5C"/>
    <w:rsid w:val="004F5388"/>
    <w:rsid w:val="004F5A16"/>
    <w:rsid w:val="004F6EC3"/>
    <w:rsid w:val="0050302A"/>
    <w:rsid w:val="005032CA"/>
    <w:rsid w:val="00503AD4"/>
    <w:rsid w:val="00503B90"/>
    <w:rsid w:val="00504915"/>
    <w:rsid w:val="005051E4"/>
    <w:rsid w:val="00505440"/>
    <w:rsid w:val="00506AF1"/>
    <w:rsid w:val="00507494"/>
    <w:rsid w:val="0051425A"/>
    <w:rsid w:val="00515DF8"/>
    <w:rsid w:val="0052014E"/>
    <w:rsid w:val="00520D14"/>
    <w:rsid w:val="00522446"/>
    <w:rsid w:val="005244DF"/>
    <w:rsid w:val="00525D1C"/>
    <w:rsid w:val="00526A0D"/>
    <w:rsid w:val="00532709"/>
    <w:rsid w:val="00540805"/>
    <w:rsid w:val="005411FD"/>
    <w:rsid w:val="0054249F"/>
    <w:rsid w:val="00542E36"/>
    <w:rsid w:val="00542FFB"/>
    <w:rsid w:val="00546F5A"/>
    <w:rsid w:val="00547466"/>
    <w:rsid w:val="00547B0D"/>
    <w:rsid w:val="00547C24"/>
    <w:rsid w:val="00551962"/>
    <w:rsid w:val="00555DF7"/>
    <w:rsid w:val="00555F9D"/>
    <w:rsid w:val="005567E0"/>
    <w:rsid w:val="00557D9D"/>
    <w:rsid w:val="0056062B"/>
    <w:rsid w:val="005644DA"/>
    <w:rsid w:val="00564C48"/>
    <w:rsid w:val="0056631E"/>
    <w:rsid w:val="00567E56"/>
    <w:rsid w:val="0057264C"/>
    <w:rsid w:val="00572ECC"/>
    <w:rsid w:val="00573410"/>
    <w:rsid w:val="00573D76"/>
    <w:rsid w:val="0057549C"/>
    <w:rsid w:val="0057586F"/>
    <w:rsid w:val="00576FE3"/>
    <w:rsid w:val="00580B89"/>
    <w:rsid w:val="00581E02"/>
    <w:rsid w:val="00584A35"/>
    <w:rsid w:val="00584A6D"/>
    <w:rsid w:val="00587557"/>
    <w:rsid w:val="00587FFC"/>
    <w:rsid w:val="00591361"/>
    <w:rsid w:val="005928B5"/>
    <w:rsid w:val="00594D17"/>
    <w:rsid w:val="0059558D"/>
    <w:rsid w:val="00596754"/>
    <w:rsid w:val="005973B3"/>
    <w:rsid w:val="00597B30"/>
    <w:rsid w:val="005A2077"/>
    <w:rsid w:val="005A2DFF"/>
    <w:rsid w:val="005A36CC"/>
    <w:rsid w:val="005A3D3E"/>
    <w:rsid w:val="005A3F77"/>
    <w:rsid w:val="005A7064"/>
    <w:rsid w:val="005B0D2E"/>
    <w:rsid w:val="005B117C"/>
    <w:rsid w:val="005B2D56"/>
    <w:rsid w:val="005B3E6A"/>
    <w:rsid w:val="005B63A8"/>
    <w:rsid w:val="005C1DD4"/>
    <w:rsid w:val="005C335D"/>
    <w:rsid w:val="005C4D2B"/>
    <w:rsid w:val="005C4F72"/>
    <w:rsid w:val="005C5103"/>
    <w:rsid w:val="005D27C0"/>
    <w:rsid w:val="005D30FC"/>
    <w:rsid w:val="005D4985"/>
    <w:rsid w:val="005D5A82"/>
    <w:rsid w:val="005D65D2"/>
    <w:rsid w:val="005D7AA7"/>
    <w:rsid w:val="005E11CF"/>
    <w:rsid w:val="005E43B5"/>
    <w:rsid w:val="005E7F60"/>
    <w:rsid w:val="005F32E6"/>
    <w:rsid w:val="005F4216"/>
    <w:rsid w:val="005F6C5B"/>
    <w:rsid w:val="006005D2"/>
    <w:rsid w:val="00600C26"/>
    <w:rsid w:val="00600D8C"/>
    <w:rsid w:val="00601394"/>
    <w:rsid w:val="00601C23"/>
    <w:rsid w:val="00602347"/>
    <w:rsid w:val="00602877"/>
    <w:rsid w:val="00603503"/>
    <w:rsid w:val="0060481C"/>
    <w:rsid w:val="00605483"/>
    <w:rsid w:val="00605C8A"/>
    <w:rsid w:val="0060703D"/>
    <w:rsid w:val="006076B2"/>
    <w:rsid w:val="006110C9"/>
    <w:rsid w:val="00611C70"/>
    <w:rsid w:val="00612E47"/>
    <w:rsid w:val="00616471"/>
    <w:rsid w:val="00616DCA"/>
    <w:rsid w:val="00622964"/>
    <w:rsid w:val="0062308D"/>
    <w:rsid w:val="00623D68"/>
    <w:rsid w:val="00624F52"/>
    <w:rsid w:val="00625FED"/>
    <w:rsid w:val="006267A5"/>
    <w:rsid w:val="00626C83"/>
    <w:rsid w:val="0063049B"/>
    <w:rsid w:val="00641A83"/>
    <w:rsid w:val="0064210E"/>
    <w:rsid w:val="006428E0"/>
    <w:rsid w:val="0065321D"/>
    <w:rsid w:val="00653E93"/>
    <w:rsid w:val="00654EBF"/>
    <w:rsid w:val="00657C8D"/>
    <w:rsid w:val="00657DB3"/>
    <w:rsid w:val="00662071"/>
    <w:rsid w:val="006652F7"/>
    <w:rsid w:val="00665D48"/>
    <w:rsid w:val="00667E8F"/>
    <w:rsid w:val="0067111F"/>
    <w:rsid w:val="00673EE3"/>
    <w:rsid w:val="00674748"/>
    <w:rsid w:val="00677C70"/>
    <w:rsid w:val="0068062E"/>
    <w:rsid w:val="00680D04"/>
    <w:rsid w:val="00681FBD"/>
    <w:rsid w:val="00682293"/>
    <w:rsid w:val="0068284D"/>
    <w:rsid w:val="00682CEC"/>
    <w:rsid w:val="00684326"/>
    <w:rsid w:val="00684F2D"/>
    <w:rsid w:val="00687C2C"/>
    <w:rsid w:val="006917C0"/>
    <w:rsid w:val="00692A68"/>
    <w:rsid w:val="006A16B4"/>
    <w:rsid w:val="006A1853"/>
    <w:rsid w:val="006A4CB4"/>
    <w:rsid w:val="006A4D7D"/>
    <w:rsid w:val="006A52BF"/>
    <w:rsid w:val="006B06F1"/>
    <w:rsid w:val="006B1E1D"/>
    <w:rsid w:val="006B4F7B"/>
    <w:rsid w:val="006B5575"/>
    <w:rsid w:val="006B5801"/>
    <w:rsid w:val="006C02AB"/>
    <w:rsid w:val="006C1FAF"/>
    <w:rsid w:val="006C5CDE"/>
    <w:rsid w:val="006C7A3A"/>
    <w:rsid w:val="006D147E"/>
    <w:rsid w:val="006D1D5A"/>
    <w:rsid w:val="006D1FB8"/>
    <w:rsid w:val="006D2C0F"/>
    <w:rsid w:val="006D3FF4"/>
    <w:rsid w:val="006D6496"/>
    <w:rsid w:val="006E248A"/>
    <w:rsid w:val="006E27E2"/>
    <w:rsid w:val="006E517C"/>
    <w:rsid w:val="006E71A0"/>
    <w:rsid w:val="006E7D22"/>
    <w:rsid w:val="006F278C"/>
    <w:rsid w:val="006F37F0"/>
    <w:rsid w:val="006F4285"/>
    <w:rsid w:val="006F45F4"/>
    <w:rsid w:val="006F6837"/>
    <w:rsid w:val="00700A97"/>
    <w:rsid w:val="00701ED6"/>
    <w:rsid w:val="007022BA"/>
    <w:rsid w:val="007024E6"/>
    <w:rsid w:val="00706102"/>
    <w:rsid w:val="007063F6"/>
    <w:rsid w:val="0071065C"/>
    <w:rsid w:val="00712DE7"/>
    <w:rsid w:val="00713FFD"/>
    <w:rsid w:val="00717221"/>
    <w:rsid w:val="00717606"/>
    <w:rsid w:val="00717BBD"/>
    <w:rsid w:val="00717C72"/>
    <w:rsid w:val="00717C90"/>
    <w:rsid w:val="00720E24"/>
    <w:rsid w:val="00725856"/>
    <w:rsid w:val="00726F9E"/>
    <w:rsid w:val="007273FA"/>
    <w:rsid w:val="0072777E"/>
    <w:rsid w:val="00730983"/>
    <w:rsid w:val="0073586E"/>
    <w:rsid w:val="00740164"/>
    <w:rsid w:val="007404C5"/>
    <w:rsid w:val="00741707"/>
    <w:rsid w:val="00745B8A"/>
    <w:rsid w:val="00746BE2"/>
    <w:rsid w:val="00754683"/>
    <w:rsid w:val="007555F9"/>
    <w:rsid w:val="00756C59"/>
    <w:rsid w:val="007576AC"/>
    <w:rsid w:val="00760A99"/>
    <w:rsid w:val="00763FF6"/>
    <w:rsid w:val="00764970"/>
    <w:rsid w:val="00764DF4"/>
    <w:rsid w:val="00767222"/>
    <w:rsid w:val="00770218"/>
    <w:rsid w:val="0077097F"/>
    <w:rsid w:val="00771543"/>
    <w:rsid w:val="00772B86"/>
    <w:rsid w:val="007738A8"/>
    <w:rsid w:val="00773F4F"/>
    <w:rsid w:val="007746FC"/>
    <w:rsid w:val="0077685B"/>
    <w:rsid w:val="007768DD"/>
    <w:rsid w:val="0078432B"/>
    <w:rsid w:val="00784D93"/>
    <w:rsid w:val="007865C8"/>
    <w:rsid w:val="00787737"/>
    <w:rsid w:val="00787A8A"/>
    <w:rsid w:val="0079174C"/>
    <w:rsid w:val="00794564"/>
    <w:rsid w:val="0079507C"/>
    <w:rsid w:val="007952BB"/>
    <w:rsid w:val="00797C04"/>
    <w:rsid w:val="007A1BFD"/>
    <w:rsid w:val="007A71D0"/>
    <w:rsid w:val="007B0D01"/>
    <w:rsid w:val="007B21A0"/>
    <w:rsid w:val="007B4F19"/>
    <w:rsid w:val="007C20E4"/>
    <w:rsid w:val="007D12A5"/>
    <w:rsid w:val="007D2EF2"/>
    <w:rsid w:val="007D4E61"/>
    <w:rsid w:val="007D5AD6"/>
    <w:rsid w:val="007D685D"/>
    <w:rsid w:val="007E07A4"/>
    <w:rsid w:val="007E7B86"/>
    <w:rsid w:val="007F321E"/>
    <w:rsid w:val="007F64D2"/>
    <w:rsid w:val="0080060E"/>
    <w:rsid w:val="00800C35"/>
    <w:rsid w:val="00802745"/>
    <w:rsid w:val="00802C87"/>
    <w:rsid w:val="00806190"/>
    <w:rsid w:val="00810672"/>
    <w:rsid w:val="00812161"/>
    <w:rsid w:val="00812886"/>
    <w:rsid w:val="00812FEB"/>
    <w:rsid w:val="008166EC"/>
    <w:rsid w:val="00816F7B"/>
    <w:rsid w:val="008170F3"/>
    <w:rsid w:val="00817570"/>
    <w:rsid w:val="0082037E"/>
    <w:rsid w:val="00820BE1"/>
    <w:rsid w:val="00820C6A"/>
    <w:rsid w:val="008214CD"/>
    <w:rsid w:val="0082427B"/>
    <w:rsid w:val="00824AE7"/>
    <w:rsid w:val="0082594D"/>
    <w:rsid w:val="00825BDD"/>
    <w:rsid w:val="008263F5"/>
    <w:rsid w:val="00827282"/>
    <w:rsid w:val="00831AA2"/>
    <w:rsid w:val="00833304"/>
    <w:rsid w:val="00834810"/>
    <w:rsid w:val="00834A73"/>
    <w:rsid w:val="00835347"/>
    <w:rsid w:val="008371A9"/>
    <w:rsid w:val="00837B46"/>
    <w:rsid w:val="00840E43"/>
    <w:rsid w:val="00841F07"/>
    <w:rsid w:val="008428E8"/>
    <w:rsid w:val="00847999"/>
    <w:rsid w:val="00850146"/>
    <w:rsid w:val="008503B8"/>
    <w:rsid w:val="008506AD"/>
    <w:rsid w:val="0085076A"/>
    <w:rsid w:val="008513B6"/>
    <w:rsid w:val="008531FF"/>
    <w:rsid w:val="00855010"/>
    <w:rsid w:val="008570D2"/>
    <w:rsid w:val="00861A7B"/>
    <w:rsid w:val="00861B75"/>
    <w:rsid w:val="00862029"/>
    <w:rsid w:val="00863208"/>
    <w:rsid w:val="0086393D"/>
    <w:rsid w:val="008656C3"/>
    <w:rsid w:val="008659C1"/>
    <w:rsid w:val="00865B32"/>
    <w:rsid w:val="0086767A"/>
    <w:rsid w:val="0087003A"/>
    <w:rsid w:val="00873869"/>
    <w:rsid w:val="0087601D"/>
    <w:rsid w:val="00876CC8"/>
    <w:rsid w:val="00877401"/>
    <w:rsid w:val="008819EE"/>
    <w:rsid w:val="00883312"/>
    <w:rsid w:val="00883F45"/>
    <w:rsid w:val="00885876"/>
    <w:rsid w:val="008858C7"/>
    <w:rsid w:val="0088640C"/>
    <w:rsid w:val="00886A99"/>
    <w:rsid w:val="00886D8C"/>
    <w:rsid w:val="00886E14"/>
    <w:rsid w:val="008922A5"/>
    <w:rsid w:val="008937D2"/>
    <w:rsid w:val="00894E75"/>
    <w:rsid w:val="00895046"/>
    <w:rsid w:val="00895A33"/>
    <w:rsid w:val="0089664B"/>
    <w:rsid w:val="008A1A77"/>
    <w:rsid w:val="008A2313"/>
    <w:rsid w:val="008A2BE9"/>
    <w:rsid w:val="008A79A7"/>
    <w:rsid w:val="008B0590"/>
    <w:rsid w:val="008B36F4"/>
    <w:rsid w:val="008B3B25"/>
    <w:rsid w:val="008B433E"/>
    <w:rsid w:val="008B571E"/>
    <w:rsid w:val="008B5B68"/>
    <w:rsid w:val="008B5D20"/>
    <w:rsid w:val="008B5E3A"/>
    <w:rsid w:val="008B6CCA"/>
    <w:rsid w:val="008C0247"/>
    <w:rsid w:val="008C14A7"/>
    <w:rsid w:val="008C240C"/>
    <w:rsid w:val="008C26FD"/>
    <w:rsid w:val="008C3DD2"/>
    <w:rsid w:val="008C4A23"/>
    <w:rsid w:val="008C6D55"/>
    <w:rsid w:val="008C759D"/>
    <w:rsid w:val="008C7C40"/>
    <w:rsid w:val="008D120F"/>
    <w:rsid w:val="008D172D"/>
    <w:rsid w:val="008D4B49"/>
    <w:rsid w:val="008D6253"/>
    <w:rsid w:val="008D791F"/>
    <w:rsid w:val="008D7E97"/>
    <w:rsid w:val="008E0206"/>
    <w:rsid w:val="008E3ED3"/>
    <w:rsid w:val="008F0B90"/>
    <w:rsid w:val="008F440E"/>
    <w:rsid w:val="008F4C6E"/>
    <w:rsid w:val="008F5231"/>
    <w:rsid w:val="008F5915"/>
    <w:rsid w:val="008F5A3B"/>
    <w:rsid w:val="008F72AD"/>
    <w:rsid w:val="00901470"/>
    <w:rsid w:val="009029A1"/>
    <w:rsid w:val="00903419"/>
    <w:rsid w:val="009041B2"/>
    <w:rsid w:val="00904718"/>
    <w:rsid w:val="00910A85"/>
    <w:rsid w:val="00910B5F"/>
    <w:rsid w:val="00911376"/>
    <w:rsid w:val="009125FB"/>
    <w:rsid w:val="00912814"/>
    <w:rsid w:val="00912989"/>
    <w:rsid w:val="00914008"/>
    <w:rsid w:val="0091402C"/>
    <w:rsid w:val="00915305"/>
    <w:rsid w:val="00915ADF"/>
    <w:rsid w:val="00916F46"/>
    <w:rsid w:val="00917681"/>
    <w:rsid w:val="0092146E"/>
    <w:rsid w:val="009216A4"/>
    <w:rsid w:val="00921FD0"/>
    <w:rsid w:val="009230C3"/>
    <w:rsid w:val="00923A49"/>
    <w:rsid w:val="009242B7"/>
    <w:rsid w:val="009242BF"/>
    <w:rsid w:val="009259A4"/>
    <w:rsid w:val="00926E9F"/>
    <w:rsid w:val="00927706"/>
    <w:rsid w:val="00932CBC"/>
    <w:rsid w:val="00935A01"/>
    <w:rsid w:val="009379F6"/>
    <w:rsid w:val="00942C80"/>
    <w:rsid w:val="00943282"/>
    <w:rsid w:val="00943665"/>
    <w:rsid w:val="0094501C"/>
    <w:rsid w:val="0094532F"/>
    <w:rsid w:val="0094695D"/>
    <w:rsid w:val="00955EB5"/>
    <w:rsid w:val="00955ED8"/>
    <w:rsid w:val="00957570"/>
    <w:rsid w:val="00961E8D"/>
    <w:rsid w:val="00964DC5"/>
    <w:rsid w:val="009667F6"/>
    <w:rsid w:val="009671BA"/>
    <w:rsid w:val="009673B9"/>
    <w:rsid w:val="009679BC"/>
    <w:rsid w:val="009713FD"/>
    <w:rsid w:val="00971AA6"/>
    <w:rsid w:val="00971E70"/>
    <w:rsid w:val="009729BB"/>
    <w:rsid w:val="0097445E"/>
    <w:rsid w:val="00974D7D"/>
    <w:rsid w:val="0097659D"/>
    <w:rsid w:val="00977DF0"/>
    <w:rsid w:val="009806CE"/>
    <w:rsid w:val="00982695"/>
    <w:rsid w:val="00984025"/>
    <w:rsid w:val="0098467E"/>
    <w:rsid w:val="0098510C"/>
    <w:rsid w:val="009868B0"/>
    <w:rsid w:val="00993506"/>
    <w:rsid w:val="009944D0"/>
    <w:rsid w:val="009948E9"/>
    <w:rsid w:val="009969E0"/>
    <w:rsid w:val="0099788B"/>
    <w:rsid w:val="009A0A02"/>
    <w:rsid w:val="009A1FAA"/>
    <w:rsid w:val="009A3CA9"/>
    <w:rsid w:val="009A6EB0"/>
    <w:rsid w:val="009A742F"/>
    <w:rsid w:val="009B0A4E"/>
    <w:rsid w:val="009B1456"/>
    <w:rsid w:val="009B5EA3"/>
    <w:rsid w:val="009C43C0"/>
    <w:rsid w:val="009C6360"/>
    <w:rsid w:val="009C7228"/>
    <w:rsid w:val="009D20B8"/>
    <w:rsid w:val="009D2A93"/>
    <w:rsid w:val="009D31DA"/>
    <w:rsid w:val="009D31F6"/>
    <w:rsid w:val="009D41C9"/>
    <w:rsid w:val="009D4CE3"/>
    <w:rsid w:val="009D67F5"/>
    <w:rsid w:val="009D7FCD"/>
    <w:rsid w:val="009E1561"/>
    <w:rsid w:val="009E2971"/>
    <w:rsid w:val="009E2C22"/>
    <w:rsid w:val="009E3B07"/>
    <w:rsid w:val="009E58D8"/>
    <w:rsid w:val="009F6855"/>
    <w:rsid w:val="009F69A4"/>
    <w:rsid w:val="009F6E41"/>
    <w:rsid w:val="00A00A42"/>
    <w:rsid w:val="00A01176"/>
    <w:rsid w:val="00A015D3"/>
    <w:rsid w:val="00A023DF"/>
    <w:rsid w:val="00A0438A"/>
    <w:rsid w:val="00A044FE"/>
    <w:rsid w:val="00A04690"/>
    <w:rsid w:val="00A05516"/>
    <w:rsid w:val="00A07712"/>
    <w:rsid w:val="00A10E83"/>
    <w:rsid w:val="00A13741"/>
    <w:rsid w:val="00A14F90"/>
    <w:rsid w:val="00A161C4"/>
    <w:rsid w:val="00A16FC0"/>
    <w:rsid w:val="00A2209E"/>
    <w:rsid w:val="00A22552"/>
    <w:rsid w:val="00A25BD0"/>
    <w:rsid w:val="00A27745"/>
    <w:rsid w:val="00A30349"/>
    <w:rsid w:val="00A36961"/>
    <w:rsid w:val="00A36A2B"/>
    <w:rsid w:val="00A375D1"/>
    <w:rsid w:val="00A37A7D"/>
    <w:rsid w:val="00A402D3"/>
    <w:rsid w:val="00A409CD"/>
    <w:rsid w:val="00A41107"/>
    <w:rsid w:val="00A451D1"/>
    <w:rsid w:val="00A46526"/>
    <w:rsid w:val="00A5375B"/>
    <w:rsid w:val="00A54524"/>
    <w:rsid w:val="00A6105D"/>
    <w:rsid w:val="00A61141"/>
    <w:rsid w:val="00A6216C"/>
    <w:rsid w:val="00A65D4C"/>
    <w:rsid w:val="00A6729E"/>
    <w:rsid w:val="00A73EF1"/>
    <w:rsid w:val="00A766F6"/>
    <w:rsid w:val="00A76966"/>
    <w:rsid w:val="00A77ABF"/>
    <w:rsid w:val="00A81D1B"/>
    <w:rsid w:val="00A829E3"/>
    <w:rsid w:val="00A85301"/>
    <w:rsid w:val="00A85639"/>
    <w:rsid w:val="00A9671C"/>
    <w:rsid w:val="00AA138E"/>
    <w:rsid w:val="00AA198A"/>
    <w:rsid w:val="00AA4509"/>
    <w:rsid w:val="00AA56A5"/>
    <w:rsid w:val="00AA57E3"/>
    <w:rsid w:val="00AB2D29"/>
    <w:rsid w:val="00AB3CE5"/>
    <w:rsid w:val="00AB4177"/>
    <w:rsid w:val="00AB5F19"/>
    <w:rsid w:val="00AB7FD6"/>
    <w:rsid w:val="00AC0A24"/>
    <w:rsid w:val="00AC170D"/>
    <w:rsid w:val="00AC4B50"/>
    <w:rsid w:val="00AC6CF2"/>
    <w:rsid w:val="00AC78FA"/>
    <w:rsid w:val="00AD081A"/>
    <w:rsid w:val="00AD4BD7"/>
    <w:rsid w:val="00AD5D86"/>
    <w:rsid w:val="00AD75E3"/>
    <w:rsid w:val="00AD79FA"/>
    <w:rsid w:val="00AE32B8"/>
    <w:rsid w:val="00AE3546"/>
    <w:rsid w:val="00AE40CC"/>
    <w:rsid w:val="00AE534D"/>
    <w:rsid w:val="00AE55AB"/>
    <w:rsid w:val="00AE5AED"/>
    <w:rsid w:val="00AE73E1"/>
    <w:rsid w:val="00AF1D74"/>
    <w:rsid w:val="00AF2684"/>
    <w:rsid w:val="00AF4412"/>
    <w:rsid w:val="00AF5681"/>
    <w:rsid w:val="00AF7940"/>
    <w:rsid w:val="00B01BB8"/>
    <w:rsid w:val="00B0333D"/>
    <w:rsid w:val="00B04792"/>
    <w:rsid w:val="00B0494A"/>
    <w:rsid w:val="00B04971"/>
    <w:rsid w:val="00B072E5"/>
    <w:rsid w:val="00B11549"/>
    <w:rsid w:val="00B126CF"/>
    <w:rsid w:val="00B16BAF"/>
    <w:rsid w:val="00B22257"/>
    <w:rsid w:val="00B2397B"/>
    <w:rsid w:val="00B25BF8"/>
    <w:rsid w:val="00B272B6"/>
    <w:rsid w:val="00B30CA4"/>
    <w:rsid w:val="00B31EAA"/>
    <w:rsid w:val="00B325A4"/>
    <w:rsid w:val="00B32683"/>
    <w:rsid w:val="00B32CE6"/>
    <w:rsid w:val="00B33A0A"/>
    <w:rsid w:val="00B33BAA"/>
    <w:rsid w:val="00B34EA7"/>
    <w:rsid w:val="00B35D23"/>
    <w:rsid w:val="00B3754C"/>
    <w:rsid w:val="00B41475"/>
    <w:rsid w:val="00B4482C"/>
    <w:rsid w:val="00B52601"/>
    <w:rsid w:val="00B53225"/>
    <w:rsid w:val="00B5368B"/>
    <w:rsid w:val="00B53E4A"/>
    <w:rsid w:val="00B56056"/>
    <w:rsid w:val="00B56702"/>
    <w:rsid w:val="00B568C4"/>
    <w:rsid w:val="00B572D6"/>
    <w:rsid w:val="00B6271F"/>
    <w:rsid w:val="00B63543"/>
    <w:rsid w:val="00B636FA"/>
    <w:rsid w:val="00B67B1B"/>
    <w:rsid w:val="00B72501"/>
    <w:rsid w:val="00B72E30"/>
    <w:rsid w:val="00B7442F"/>
    <w:rsid w:val="00B74E5D"/>
    <w:rsid w:val="00B77A36"/>
    <w:rsid w:val="00B77DED"/>
    <w:rsid w:val="00B83766"/>
    <w:rsid w:val="00B84576"/>
    <w:rsid w:val="00B9039C"/>
    <w:rsid w:val="00B926E7"/>
    <w:rsid w:val="00B94FBC"/>
    <w:rsid w:val="00B972F7"/>
    <w:rsid w:val="00B97599"/>
    <w:rsid w:val="00BA0024"/>
    <w:rsid w:val="00BA021E"/>
    <w:rsid w:val="00BA249E"/>
    <w:rsid w:val="00BA2BB6"/>
    <w:rsid w:val="00BA4C3E"/>
    <w:rsid w:val="00BB0385"/>
    <w:rsid w:val="00BB2B65"/>
    <w:rsid w:val="00BB4FEE"/>
    <w:rsid w:val="00BB52BD"/>
    <w:rsid w:val="00BB5366"/>
    <w:rsid w:val="00BB5D2F"/>
    <w:rsid w:val="00BB798F"/>
    <w:rsid w:val="00BC1787"/>
    <w:rsid w:val="00BC2573"/>
    <w:rsid w:val="00BC53D4"/>
    <w:rsid w:val="00BC6E5F"/>
    <w:rsid w:val="00BC78A9"/>
    <w:rsid w:val="00BD0A5C"/>
    <w:rsid w:val="00BD0EDD"/>
    <w:rsid w:val="00BD3688"/>
    <w:rsid w:val="00BD4D18"/>
    <w:rsid w:val="00BD7737"/>
    <w:rsid w:val="00BE02BB"/>
    <w:rsid w:val="00BE069B"/>
    <w:rsid w:val="00BE53AD"/>
    <w:rsid w:val="00BE7949"/>
    <w:rsid w:val="00BF0B5C"/>
    <w:rsid w:val="00BF0BBE"/>
    <w:rsid w:val="00BF7B82"/>
    <w:rsid w:val="00C01005"/>
    <w:rsid w:val="00C0255C"/>
    <w:rsid w:val="00C03871"/>
    <w:rsid w:val="00C03C2B"/>
    <w:rsid w:val="00C04501"/>
    <w:rsid w:val="00C12FFD"/>
    <w:rsid w:val="00C1725E"/>
    <w:rsid w:val="00C20A07"/>
    <w:rsid w:val="00C260E5"/>
    <w:rsid w:val="00C263EB"/>
    <w:rsid w:val="00C31433"/>
    <w:rsid w:val="00C32EAA"/>
    <w:rsid w:val="00C33EB9"/>
    <w:rsid w:val="00C35640"/>
    <w:rsid w:val="00C40086"/>
    <w:rsid w:val="00C40FD4"/>
    <w:rsid w:val="00C416EA"/>
    <w:rsid w:val="00C42430"/>
    <w:rsid w:val="00C44226"/>
    <w:rsid w:val="00C50853"/>
    <w:rsid w:val="00C50FF7"/>
    <w:rsid w:val="00C51001"/>
    <w:rsid w:val="00C51180"/>
    <w:rsid w:val="00C511BA"/>
    <w:rsid w:val="00C52089"/>
    <w:rsid w:val="00C52108"/>
    <w:rsid w:val="00C53665"/>
    <w:rsid w:val="00C54890"/>
    <w:rsid w:val="00C55748"/>
    <w:rsid w:val="00C57637"/>
    <w:rsid w:val="00C605EB"/>
    <w:rsid w:val="00C62660"/>
    <w:rsid w:val="00C64AEB"/>
    <w:rsid w:val="00C64CD8"/>
    <w:rsid w:val="00C7120E"/>
    <w:rsid w:val="00C72BD9"/>
    <w:rsid w:val="00C74433"/>
    <w:rsid w:val="00C749B0"/>
    <w:rsid w:val="00C84CED"/>
    <w:rsid w:val="00C86BCA"/>
    <w:rsid w:val="00C91AAB"/>
    <w:rsid w:val="00C91C43"/>
    <w:rsid w:val="00C935F9"/>
    <w:rsid w:val="00C93B3C"/>
    <w:rsid w:val="00C9422D"/>
    <w:rsid w:val="00C9555E"/>
    <w:rsid w:val="00C96429"/>
    <w:rsid w:val="00C96A26"/>
    <w:rsid w:val="00CA1BF8"/>
    <w:rsid w:val="00CA1D76"/>
    <w:rsid w:val="00CA1E41"/>
    <w:rsid w:val="00CA308A"/>
    <w:rsid w:val="00CA6F29"/>
    <w:rsid w:val="00CA74AE"/>
    <w:rsid w:val="00CA7A46"/>
    <w:rsid w:val="00CA7E49"/>
    <w:rsid w:val="00CB4EBD"/>
    <w:rsid w:val="00CB4EF0"/>
    <w:rsid w:val="00CB54C9"/>
    <w:rsid w:val="00CC1C97"/>
    <w:rsid w:val="00CC3281"/>
    <w:rsid w:val="00CC6025"/>
    <w:rsid w:val="00CC73D9"/>
    <w:rsid w:val="00CC7A96"/>
    <w:rsid w:val="00CD2525"/>
    <w:rsid w:val="00CD6A0E"/>
    <w:rsid w:val="00CD7A86"/>
    <w:rsid w:val="00CE203E"/>
    <w:rsid w:val="00CE3903"/>
    <w:rsid w:val="00CE7716"/>
    <w:rsid w:val="00CF05E2"/>
    <w:rsid w:val="00CF0F28"/>
    <w:rsid w:val="00CF300B"/>
    <w:rsid w:val="00CF6C7B"/>
    <w:rsid w:val="00CF735F"/>
    <w:rsid w:val="00CF76A0"/>
    <w:rsid w:val="00CF7D16"/>
    <w:rsid w:val="00CF7F2E"/>
    <w:rsid w:val="00D001F6"/>
    <w:rsid w:val="00D01162"/>
    <w:rsid w:val="00D025B6"/>
    <w:rsid w:val="00D05D2B"/>
    <w:rsid w:val="00D062DC"/>
    <w:rsid w:val="00D13D46"/>
    <w:rsid w:val="00D14FEF"/>
    <w:rsid w:val="00D20143"/>
    <w:rsid w:val="00D21619"/>
    <w:rsid w:val="00D21784"/>
    <w:rsid w:val="00D21FA2"/>
    <w:rsid w:val="00D22247"/>
    <w:rsid w:val="00D2271D"/>
    <w:rsid w:val="00D227D2"/>
    <w:rsid w:val="00D22A8C"/>
    <w:rsid w:val="00D22C3D"/>
    <w:rsid w:val="00D22F73"/>
    <w:rsid w:val="00D23EA1"/>
    <w:rsid w:val="00D32279"/>
    <w:rsid w:val="00D32F5B"/>
    <w:rsid w:val="00D3555F"/>
    <w:rsid w:val="00D35F9E"/>
    <w:rsid w:val="00D378F8"/>
    <w:rsid w:val="00D41DB8"/>
    <w:rsid w:val="00D4414F"/>
    <w:rsid w:val="00D45D0C"/>
    <w:rsid w:val="00D54724"/>
    <w:rsid w:val="00D5627B"/>
    <w:rsid w:val="00D56956"/>
    <w:rsid w:val="00D570AF"/>
    <w:rsid w:val="00D61A4A"/>
    <w:rsid w:val="00D62419"/>
    <w:rsid w:val="00D639EB"/>
    <w:rsid w:val="00D6419E"/>
    <w:rsid w:val="00D6487F"/>
    <w:rsid w:val="00D72A89"/>
    <w:rsid w:val="00D72FB2"/>
    <w:rsid w:val="00D72FC6"/>
    <w:rsid w:val="00D75088"/>
    <w:rsid w:val="00D828D9"/>
    <w:rsid w:val="00D82C95"/>
    <w:rsid w:val="00D85EF6"/>
    <w:rsid w:val="00D86B38"/>
    <w:rsid w:val="00D904A7"/>
    <w:rsid w:val="00D9059E"/>
    <w:rsid w:val="00D90625"/>
    <w:rsid w:val="00D90A41"/>
    <w:rsid w:val="00D92146"/>
    <w:rsid w:val="00D92949"/>
    <w:rsid w:val="00D9742C"/>
    <w:rsid w:val="00DA1748"/>
    <w:rsid w:val="00DA33FD"/>
    <w:rsid w:val="00DA468F"/>
    <w:rsid w:val="00DA6173"/>
    <w:rsid w:val="00DA66BA"/>
    <w:rsid w:val="00DA7378"/>
    <w:rsid w:val="00DB1A2A"/>
    <w:rsid w:val="00DB3A0A"/>
    <w:rsid w:val="00DB3DC3"/>
    <w:rsid w:val="00DB606A"/>
    <w:rsid w:val="00DB6446"/>
    <w:rsid w:val="00DB6E26"/>
    <w:rsid w:val="00DC0885"/>
    <w:rsid w:val="00DC0A9D"/>
    <w:rsid w:val="00DC0C87"/>
    <w:rsid w:val="00DC37F5"/>
    <w:rsid w:val="00DC3CA4"/>
    <w:rsid w:val="00DC69D4"/>
    <w:rsid w:val="00DC6F98"/>
    <w:rsid w:val="00DC715A"/>
    <w:rsid w:val="00DD3243"/>
    <w:rsid w:val="00DD3EFA"/>
    <w:rsid w:val="00DD4371"/>
    <w:rsid w:val="00DD4AB4"/>
    <w:rsid w:val="00DE146F"/>
    <w:rsid w:val="00DE1555"/>
    <w:rsid w:val="00DE19CF"/>
    <w:rsid w:val="00DF062A"/>
    <w:rsid w:val="00DF1056"/>
    <w:rsid w:val="00DF382A"/>
    <w:rsid w:val="00E00CE9"/>
    <w:rsid w:val="00E0245E"/>
    <w:rsid w:val="00E036C6"/>
    <w:rsid w:val="00E04B6E"/>
    <w:rsid w:val="00E12709"/>
    <w:rsid w:val="00E129F5"/>
    <w:rsid w:val="00E12F72"/>
    <w:rsid w:val="00E1426E"/>
    <w:rsid w:val="00E15A49"/>
    <w:rsid w:val="00E16E3C"/>
    <w:rsid w:val="00E212A8"/>
    <w:rsid w:val="00E22099"/>
    <w:rsid w:val="00E268C6"/>
    <w:rsid w:val="00E30504"/>
    <w:rsid w:val="00E314A7"/>
    <w:rsid w:val="00E31B8D"/>
    <w:rsid w:val="00E32449"/>
    <w:rsid w:val="00E324B5"/>
    <w:rsid w:val="00E34B70"/>
    <w:rsid w:val="00E35AC1"/>
    <w:rsid w:val="00E362EE"/>
    <w:rsid w:val="00E36448"/>
    <w:rsid w:val="00E3677E"/>
    <w:rsid w:val="00E4125B"/>
    <w:rsid w:val="00E413B4"/>
    <w:rsid w:val="00E4200A"/>
    <w:rsid w:val="00E42EF4"/>
    <w:rsid w:val="00E447EB"/>
    <w:rsid w:val="00E45EAF"/>
    <w:rsid w:val="00E45F11"/>
    <w:rsid w:val="00E46892"/>
    <w:rsid w:val="00E51A68"/>
    <w:rsid w:val="00E55D52"/>
    <w:rsid w:val="00E56F07"/>
    <w:rsid w:val="00E5786B"/>
    <w:rsid w:val="00E61700"/>
    <w:rsid w:val="00E6189A"/>
    <w:rsid w:val="00E625ED"/>
    <w:rsid w:val="00E64121"/>
    <w:rsid w:val="00E6527F"/>
    <w:rsid w:val="00E665D7"/>
    <w:rsid w:val="00E67F6D"/>
    <w:rsid w:val="00E70B54"/>
    <w:rsid w:val="00E72851"/>
    <w:rsid w:val="00E72ED3"/>
    <w:rsid w:val="00E740E8"/>
    <w:rsid w:val="00E74699"/>
    <w:rsid w:val="00E74F23"/>
    <w:rsid w:val="00E75545"/>
    <w:rsid w:val="00E76BD3"/>
    <w:rsid w:val="00E76C55"/>
    <w:rsid w:val="00E826D2"/>
    <w:rsid w:val="00E8356E"/>
    <w:rsid w:val="00E837E1"/>
    <w:rsid w:val="00E87F20"/>
    <w:rsid w:val="00E90789"/>
    <w:rsid w:val="00E924DD"/>
    <w:rsid w:val="00E92B30"/>
    <w:rsid w:val="00E92D46"/>
    <w:rsid w:val="00E94AD3"/>
    <w:rsid w:val="00E959EF"/>
    <w:rsid w:val="00EA2B68"/>
    <w:rsid w:val="00EA30CA"/>
    <w:rsid w:val="00EA425E"/>
    <w:rsid w:val="00EA5362"/>
    <w:rsid w:val="00EA5E4B"/>
    <w:rsid w:val="00EA6C35"/>
    <w:rsid w:val="00EA752B"/>
    <w:rsid w:val="00EA7942"/>
    <w:rsid w:val="00EB1013"/>
    <w:rsid w:val="00EB1CB9"/>
    <w:rsid w:val="00EB6B45"/>
    <w:rsid w:val="00EB7A3D"/>
    <w:rsid w:val="00EC092F"/>
    <w:rsid w:val="00EC1827"/>
    <w:rsid w:val="00EC259D"/>
    <w:rsid w:val="00EC3A09"/>
    <w:rsid w:val="00EC4E8C"/>
    <w:rsid w:val="00ED271A"/>
    <w:rsid w:val="00ED35C4"/>
    <w:rsid w:val="00ED3EED"/>
    <w:rsid w:val="00ED4531"/>
    <w:rsid w:val="00ED5633"/>
    <w:rsid w:val="00ED7510"/>
    <w:rsid w:val="00EE0C9E"/>
    <w:rsid w:val="00EE38DD"/>
    <w:rsid w:val="00EE548D"/>
    <w:rsid w:val="00EE65E5"/>
    <w:rsid w:val="00EE73C1"/>
    <w:rsid w:val="00EF0419"/>
    <w:rsid w:val="00EF1E6C"/>
    <w:rsid w:val="00EF2F8C"/>
    <w:rsid w:val="00EF4051"/>
    <w:rsid w:val="00EF5117"/>
    <w:rsid w:val="00EF6136"/>
    <w:rsid w:val="00EF6906"/>
    <w:rsid w:val="00EF75E1"/>
    <w:rsid w:val="00F018C9"/>
    <w:rsid w:val="00F02F37"/>
    <w:rsid w:val="00F04405"/>
    <w:rsid w:val="00F059E2"/>
    <w:rsid w:val="00F0644D"/>
    <w:rsid w:val="00F0673E"/>
    <w:rsid w:val="00F069B5"/>
    <w:rsid w:val="00F07435"/>
    <w:rsid w:val="00F0752C"/>
    <w:rsid w:val="00F1287B"/>
    <w:rsid w:val="00F12FCA"/>
    <w:rsid w:val="00F13155"/>
    <w:rsid w:val="00F15A64"/>
    <w:rsid w:val="00F1689D"/>
    <w:rsid w:val="00F16FC5"/>
    <w:rsid w:val="00F254F5"/>
    <w:rsid w:val="00F25FDD"/>
    <w:rsid w:val="00F31044"/>
    <w:rsid w:val="00F34125"/>
    <w:rsid w:val="00F35061"/>
    <w:rsid w:val="00F35640"/>
    <w:rsid w:val="00F36EF0"/>
    <w:rsid w:val="00F40724"/>
    <w:rsid w:val="00F41841"/>
    <w:rsid w:val="00F42D48"/>
    <w:rsid w:val="00F43651"/>
    <w:rsid w:val="00F44A22"/>
    <w:rsid w:val="00F4565D"/>
    <w:rsid w:val="00F46062"/>
    <w:rsid w:val="00F46410"/>
    <w:rsid w:val="00F47ACB"/>
    <w:rsid w:val="00F47C79"/>
    <w:rsid w:val="00F50E63"/>
    <w:rsid w:val="00F51FD6"/>
    <w:rsid w:val="00F53011"/>
    <w:rsid w:val="00F55504"/>
    <w:rsid w:val="00F5733D"/>
    <w:rsid w:val="00F60BD8"/>
    <w:rsid w:val="00F6417E"/>
    <w:rsid w:val="00F6473E"/>
    <w:rsid w:val="00F6608A"/>
    <w:rsid w:val="00F66D83"/>
    <w:rsid w:val="00F700D1"/>
    <w:rsid w:val="00F71F51"/>
    <w:rsid w:val="00F74CFE"/>
    <w:rsid w:val="00F75F6C"/>
    <w:rsid w:val="00F80DBF"/>
    <w:rsid w:val="00F81C4E"/>
    <w:rsid w:val="00F83C53"/>
    <w:rsid w:val="00F91418"/>
    <w:rsid w:val="00F92373"/>
    <w:rsid w:val="00FA1DE7"/>
    <w:rsid w:val="00FA2084"/>
    <w:rsid w:val="00FA4E28"/>
    <w:rsid w:val="00FA5685"/>
    <w:rsid w:val="00FA5E57"/>
    <w:rsid w:val="00FB01A6"/>
    <w:rsid w:val="00FB5B36"/>
    <w:rsid w:val="00FC0D81"/>
    <w:rsid w:val="00FC1A2C"/>
    <w:rsid w:val="00FC4C5A"/>
    <w:rsid w:val="00FC5E68"/>
    <w:rsid w:val="00FC651D"/>
    <w:rsid w:val="00FC7D2E"/>
    <w:rsid w:val="00FC7E16"/>
    <w:rsid w:val="00FD0B96"/>
    <w:rsid w:val="00FD2F31"/>
    <w:rsid w:val="00FD624A"/>
    <w:rsid w:val="00FD6D57"/>
    <w:rsid w:val="00FD6D63"/>
    <w:rsid w:val="00FD7997"/>
    <w:rsid w:val="00FD7D99"/>
    <w:rsid w:val="00FE0F54"/>
    <w:rsid w:val="00FE186D"/>
    <w:rsid w:val="00FE1E74"/>
    <w:rsid w:val="00FE42E4"/>
    <w:rsid w:val="00FE5CD0"/>
    <w:rsid w:val="00FE7356"/>
    <w:rsid w:val="00FF347C"/>
    <w:rsid w:val="00FF4F6D"/>
    <w:rsid w:val="00FF52E8"/>
    <w:rsid w:val="00FF5617"/>
    <w:rsid w:val="00FF6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4C2775B-4804-47C2-A810-9DD42AB0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81"/>
    <w:rPr>
      <w:sz w:val="24"/>
      <w:lang w:val="en-AU" w:eastAsia="en-US"/>
    </w:rPr>
  </w:style>
  <w:style w:type="paragraph" w:styleId="1">
    <w:name w:val="heading 1"/>
    <w:basedOn w:val="a"/>
    <w:next w:val="a"/>
    <w:qFormat/>
    <w:pPr>
      <w:keepNext/>
      <w:jc w:val="center"/>
      <w:outlineLvl w:val="0"/>
    </w:pPr>
    <w:rPr>
      <w:b/>
      <w:bCs/>
      <w:sz w:val="28"/>
      <w:lang w:val="el-GR"/>
    </w:rPr>
  </w:style>
  <w:style w:type="paragraph" w:styleId="2">
    <w:name w:val="heading 2"/>
    <w:basedOn w:val="a"/>
    <w:next w:val="a"/>
    <w:qFormat/>
    <w:pPr>
      <w:keepNext/>
      <w:jc w:val="center"/>
      <w:outlineLvl w:val="1"/>
    </w:pPr>
    <w:rPr>
      <w:sz w:val="28"/>
      <w:lang w:val="el-GR"/>
    </w:rPr>
  </w:style>
  <w:style w:type="paragraph" w:styleId="9">
    <w:name w:val="heading 9"/>
    <w:basedOn w:val="a"/>
    <w:next w:val="a"/>
    <w:qFormat/>
    <w:pPr>
      <w:keepNext/>
      <w:spacing w:line="288" w:lineRule="auto"/>
      <w:ind w:left="5040" w:right="91" w:firstLine="720"/>
      <w:jc w:val="both"/>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2"/>
      <w:lang w:val="en-US"/>
    </w:rPr>
  </w:style>
  <w:style w:type="paragraph" w:styleId="a4">
    <w:name w:val="footer"/>
    <w:basedOn w:val="a"/>
    <w:pPr>
      <w:tabs>
        <w:tab w:val="center" w:pos="4320"/>
        <w:tab w:val="right" w:pos="8640"/>
      </w:tabs>
    </w:pPr>
    <w:rPr>
      <w:sz w:val="20"/>
      <w:lang w:val="en-US"/>
    </w:rPr>
  </w:style>
  <w:style w:type="character" w:styleId="-">
    <w:name w:val="Hyperlink"/>
    <w:rPr>
      <w:color w:val="0000FF"/>
      <w:u w:val="single"/>
    </w:rPr>
  </w:style>
  <w:style w:type="paragraph" w:styleId="a5">
    <w:name w:val="Subtitle"/>
    <w:basedOn w:val="a"/>
    <w:qFormat/>
    <w:pPr>
      <w:jc w:val="center"/>
      <w:outlineLvl w:val="0"/>
    </w:pPr>
    <w:rPr>
      <w:b/>
      <w:lang w:val="el-GR"/>
    </w:rPr>
  </w:style>
  <w:style w:type="character" w:styleId="-0">
    <w:name w:val="FollowedHyperlink"/>
    <w:rPr>
      <w:color w:val="800080"/>
      <w:u w:val="single"/>
    </w:rPr>
  </w:style>
  <w:style w:type="paragraph" w:styleId="a6">
    <w:name w:val="header"/>
    <w:basedOn w:val="a"/>
    <w:pPr>
      <w:tabs>
        <w:tab w:val="center" w:pos="4153"/>
        <w:tab w:val="right" w:pos="8306"/>
      </w:tabs>
    </w:pPr>
  </w:style>
  <w:style w:type="paragraph" w:styleId="a7">
    <w:name w:val="Body Text"/>
    <w:basedOn w:val="a"/>
    <w:pPr>
      <w:jc w:val="both"/>
    </w:pPr>
    <w:rPr>
      <w:lang w:val="el-GR"/>
    </w:rPr>
  </w:style>
  <w:style w:type="paragraph" w:styleId="20">
    <w:name w:val="Body Text 2"/>
    <w:basedOn w:val="a"/>
    <w:pPr>
      <w:jc w:val="center"/>
    </w:pPr>
    <w:rPr>
      <w:b/>
      <w:bCs/>
      <w:lang w:val="el-GR"/>
    </w:rPr>
  </w:style>
  <w:style w:type="paragraph" w:styleId="3">
    <w:name w:val="Body Text 3"/>
    <w:basedOn w:val="a"/>
    <w:pPr>
      <w:jc w:val="both"/>
    </w:pPr>
    <w:rPr>
      <w:sz w:val="26"/>
      <w:lang w:val="el-GR"/>
    </w:rPr>
  </w:style>
  <w:style w:type="paragraph" w:styleId="a8">
    <w:name w:val="Balloon Text"/>
    <w:basedOn w:val="a"/>
    <w:semiHidden/>
    <w:rPr>
      <w:rFonts w:ascii="Tahoma" w:hAnsi="Tahoma" w:cs="Tahoma"/>
      <w:sz w:val="16"/>
      <w:szCs w:val="16"/>
    </w:rPr>
  </w:style>
  <w:style w:type="paragraph" w:styleId="Web">
    <w:name w:val="Normal (Web)"/>
    <w:basedOn w:val="a"/>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 w:type="paragraph" w:styleId="ad">
    <w:name w:val="caption"/>
    <w:basedOn w:val="a"/>
    <w:next w:val="a"/>
    <w:uiPriority w:val="35"/>
    <w:unhideWhenUsed/>
    <w:qFormat/>
    <w:rsid w:val="006917C0"/>
    <w:rPr>
      <w:b/>
      <w:bCs/>
      <w:sz w:val="20"/>
    </w:rPr>
  </w:style>
  <w:style w:type="character" w:styleId="ae">
    <w:name w:val="Strong"/>
    <w:basedOn w:val="a0"/>
    <w:uiPriority w:val="22"/>
    <w:qFormat/>
    <w:rsid w:val="00CC7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1637879825">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kt.gr" TargetMode="Externa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kt.gr" TargetMode="Externa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rics.ekt.gr/el/eidikes-ektheseis/ekdoseis-EK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3.xml"/><Relationship Id="rId10" Type="http://schemas.openxmlformats.org/officeDocument/2006/relationships/hyperlink" Target="http://innovation.ekt.gr/horizon20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ilesrv\EKT%20Shared%20Documents\&#932;&#924;&#919;&#924;&#913;%20&#917;&#922;&#916;&#927;&#931;&#917;&#937;&#925;%20&#922;&#913;&#921;%20&#928;&#929;&#927;&#937;&#920;&#919;&#931;&#919;&#931;%20&#928;&#929;&#927;&#921;&#927;&#925;&#932;&#937;&#925;\&#924;&#927;&#925;&#913;&#916;&#913;%20&#917;&#922;&#916;&#927;&#931;&#917;&#937;&#925;\METRICS\2016\Horizon2020_GreekForeis\FIGURES_E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ilesrv\EKT%20Shared%20Documents\&#932;&#924;&#919;&#924;&#913;%20&#917;&#922;&#916;&#927;&#931;&#917;&#937;&#925;%20&#922;&#913;&#921;%20&#928;&#929;&#927;&#937;&#920;&#919;&#931;&#919;&#931;%20&#928;&#929;&#927;&#921;&#927;&#925;&#932;&#937;&#925;\&#924;&#927;&#925;&#913;&#916;&#913;%20&#917;&#922;&#916;&#927;&#931;&#917;&#937;&#925;\METRICS\2016\Horizon2020_GreekForeis\FIGURES_EL.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ilesrv\EKT%20Shared%20Documents\&#932;&#924;&#919;&#924;&#913;%20&#917;&#922;&#916;&#927;&#931;&#917;&#937;&#925;%20&#922;&#913;&#921;%20&#928;&#929;&#927;&#937;&#920;&#919;&#931;&#919;&#931;%20&#928;&#929;&#927;&#921;&#927;&#925;&#932;&#937;&#925;\&#924;&#927;&#925;&#913;&#916;&#913;%20&#917;&#922;&#916;&#927;&#931;&#917;&#937;&#925;\METRICS\2016\Horizon2020_GreekForeis\FIGURES_EL.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ilesrv\EKT%20Shared%20Documents\&#932;&#924;&#919;&#924;&#913;%20&#917;&#922;&#916;&#927;&#931;&#917;&#937;&#925;%20&#922;&#913;&#921;%20&#928;&#929;&#927;&#937;&#920;&#919;&#931;&#919;&#931;%20&#928;&#929;&#927;&#921;&#927;&#925;&#932;&#937;&#925;\&#924;&#927;&#925;&#913;&#916;&#913;%20&#917;&#922;&#916;&#927;&#931;&#917;&#937;&#925;\METRICS\2016\Horizon2020_GreekForeis\FIGURES_EL.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ilesrv\EKT%20Shared%20Documents\&#932;&#924;&#919;&#924;&#913;%20&#917;&#922;&#916;&#927;&#931;&#917;&#937;&#925;%20&#922;&#913;&#921;%20&#928;&#929;&#927;&#937;&#920;&#919;&#931;&#919;&#931;%20&#928;&#929;&#927;&#921;&#927;&#925;&#932;&#937;&#925;\&#924;&#927;&#925;&#913;&#916;&#913;%20&#917;&#922;&#916;&#927;&#931;&#917;&#937;&#925;\METRICS\2016\Horizon2020_GreekForeis\FIGURES_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rgbClr val="002060"/>
                </a:solidFill>
                <a:latin typeface="+mn-lt"/>
                <a:ea typeface="+mn-ea"/>
                <a:cs typeface="+mn-cs"/>
              </a:defRPr>
            </a:pPr>
            <a:r>
              <a:rPr lang="el-GR" sz="1200" b="1" i="0" u="none" strike="noStrike" baseline="0">
                <a:effectLst/>
              </a:rPr>
              <a:t> </a:t>
            </a:r>
            <a:r>
              <a:rPr lang="el-GR" sz="1200" b="1">
                <a:solidFill>
                  <a:srgbClr val="002060"/>
                </a:solidFill>
              </a:rPr>
              <a:t>Κοινοτική</a:t>
            </a:r>
            <a:r>
              <a:rPr lang="el-GR" sz="1200" b="1" baseline="0">
                <a:solidFill>
                  <a:srgbClr val="002060"/>
                </a:solidFill>
              </a:rPr>
              <a:t> χρηματοδότηση (εκατ. €) </a:t>
            </a:r>
            <a:r>
              <a:rPr lang="el-GR" sz="1200" b="1">
                <a:solidFill>
                  <a:srgbClr val="002060"/>
                </a:solidFill>
              </a:rPr>
              <a:t>σε εγκεκριμένα</a:t>
            </a:r>
            <a:r>
              <a:rPr lang="el-GR" sz="1200" b="1" baseline="0">
                <a:solidFill>
                  <a:srgbClr val="002060"/>
                </a:solidFill>
              </a:rPr>
              <a:t> έργα </a:t>
            </a:r>
            <a:r>
              <a:rPr lang="el-GR" sz="1200" b="1">
                <a:solidFill>
                  <a:srgbClr val="002060"/>
                </a:solidFill>
              </a:rPr>
              <a:t>στον Ορίζοντα</a:t>
            </a:r>
            <a:r>
              <a:rPr lang="el-GR" sz="1200" b="1" baseline="0">
                <a:solidFill>
                  <a:srgbClr val="002060"/>
                </a:solidFill>
              </a:rPr>
              <a:t> 2020 στην Ελλάδα και τις χώρες της ΕΕ28 </a:t>
            </a:r>
            <a:endParaRPr lang="el-GR" sz="1200" b="1">
              <a:solidFill>
                <a:srgbClr val="002060"/>
              </a:solidFill>
            </a:endParaRPr>
          </a:p>
        </c:rich>
      </c:tx>
      <c:layout>
        <c:manualLayout>
          <c:xMode val="edge"/>
          <c:yMode val="edge"/>
          <c:x val="0.11172168382798306"/>
          <c:y val="5.192107995846313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rgbClr val="002060"/>
              </a:solidFill>
              <a:latin typeface="+mn-lt"/>
              <a:ea typeface="+mn-ea"/>
              <a:cs typeface="+mn-cs"/>
            </a:defRPr>
          </a:pPr>
          <a:endParaRPr lang="el-GR"/>
        </a:p>
      </c:txPr>
    </c:title>
    <c:autoTitleDeleted val="0"/>
    <c:plotArea>
      <c:layout>
        <c:manualLayout>
          <c:layoutTarget val="inner"/>
          <c:xMode val="edge"/>
          <c:yMode val="edge"/>
          <c:x val="0.22950109361329835"/>
          <c:y val="0.18319034445018698"/>
          <c:w val="0.72591951006124245"/>
          <c:h val="0.79301452183341947"/>
        </c:manualLayout>
      </c:layout>
      <c:barChart>
        <c:barDir val="bar"/>
        <c:grouping val="clustered"/>
        <c:varyColors val="0"/>
        <c:ser>
          <c:idx val="0"/>
          <c:order val="0"/>
          <c:spPr>
            <a:solidFill>
              <a:srgbClr val="002060"/>
            </a:solidFill>
            <a:ln>
              <a:noFill/>
            </a:ln>
            <a:effectLst/>
          </c:spPr>
          <c:invertIfNegative val="0"/>
          <c:dPt>
            <c:idx val="10"/>
            <c:invertIfNegative val="0"/>
            <c:bubble3D val="0"/>
            <c:spPr>
              <a:solidFill>
                <a:srgbClr val="E44535"/>
              </a:solidFill>
              <a:ln>
                <a:noFill/>
              </a:ln>
              <a:effectLst/>
            </c:spPr>
          </c:dPt>
          <c:dLbls>
            <c:dLbl>
              <c:idx val="1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E44535"/>
                      </a:solidFill>
                      <a:latin typeface="+mn-lt"/>
                      <a:ea typeface="+mn-ea"/>
                      <a:cs typeface="+mn-cs"/>
                    </a:defRPr>
                  </a:pPr>
                  <a:endParaRPr lang="el-GR"/>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[FIGURES_EL.xlsx]Φύλλο1!$A$100:$A$127</c:f>
              <c:strCache>
                <c:ptCount val="28"/>
                <c:pt idx="0">
                  <c:v>DE - Germany</c:v>
                </c:pt>
                <c:pt idx="1">
                  <c:v>UK - United Kingdom</c:v>
                </c:pt>
                <c:pt idx="2">
                  <c:v>FR - France</c:v>
                </c:pt>
                <c:pt idx="3">
                  <c:v>ES - Spain</c:v>
                </c:pt>
                <c:pt idx="4">
                  <c:v>NL - Netherlands</c:v>
                </c:pt>
                <c:pt idx="5">
                  <c:v>IT - Italy</c:v>
                </c:pt>
                <c:pt idx="6">
                  <c:v>BE - Belgium</c:v>
                </c:pt>
                <c:pt idx="7">
                  <c:v>SE - Sweden</c:v>
                </c:pt>
                <c:pt idx="8">
                  <c:v>AT - Austria</c:v>
                </c:pt>
                <c:pt idx="9">
                  <c:v>DK - Denmark</c:v>
                </c:pt>
                <c:pt idx="10">
                  <c:v>EL - Greece</c:v>
                </c:pt>
                <c:pt idx="11">
                  <c:v>FI - Finland</c:v>
                </c:pt>
                <c:pt idx="12">
                  <c:v>IE - Ireland</c:v>
                </c:pt>
                <c:pt idx="13">
                  <c:v>PT - Portugal</c:v>
                </c:pt>
                <c:pt idx="14">
                  <c:v>PL - Poland</c:v>
                </c:pt>
                <c:pt idx="15">
                  <c:v>CZ - Czech Republic</c:v>
                </c:pt>
                <c:pt idx="16">
                  <c:v>HU - Hungary</c:v>
                </c:pt>
                <c:pt idx="17">
                  <c:v>SI - Slovenia</c:v>
                </c:pt>
                <c:pt idx="18">
                  <c:v>RO - Romania</c:v>
                </c:pt>
                <c:pt idx="19">
                  <c:v>EE - Estonia</c:v>
                </c:pt>
                <c:pt idx="20">
                  <c:v>CY - Cyprus</c:v>
                </c:pt>
                <c:pt idx="21">
                  <c:v>SK - Slovakia</c:v>
                </c:pt>
                <c:pt idx="22">
                  <c:v>LU - Luxembourg</c:v>
                </c:pt>
                <c:pt idx="23">
                  <c:v>HR - Croatia</c:v>
                </c:pt>
                <c:pt idx="24">
                  <c:v>BG - Bulgaria</c:v>
                </c:pt>
                <c:pt idx="25">
                  <c:v>LV - Latvia</c:v>
                </c:pt>
                <c:pt idx="26">
                  <c:v>LT - Lithuania</c:v>
                </c:pt>
                <c:pt idx="27">
                  <c:v>MT - Malta</c:v>
                </c:pt>
              </c:strCache>
            </c:strRef>
          </c:cat>
          <c:val>
            <c:numRef>
              <c:f>[FIGURES_EL.xlsx]Φύλλο1!$C$100:$C$127</c:f>
              <c:numCache>
                <c:formatCode>#,##0.0</c:formatCode>
                <c:ptCount val="28"/>
                <c:pt idx="0">
                  <c:v>2967.7401439999999</c:v>
                </c:pt>
                <c:pt idx="1">
                  <c:v>2340.926191</c:v>
                </c:pt>
                <c:pt idx="2">
                  <c:v>1592.3735449999999</c:v>
                </c:pt>
                <c:pt idx="3">
                  <c:v>1385.4329809999999</c:v>
                </c:pt>
                <c:pt idx="4">
                  <c:v>1254.225062</c:v>
                </c:pt>
                <c:pt idx="5">
                  <c:v>1243.6180690000001</c:v>
                </c:pt>
                <c:pt idx="6">
                  <c:v>731.51851899999997</c:v>
                </c:pt>
                <c:pt idx="7">
                  <c:v>526.54520500000001</c:v>
                </c:pt>
                <c:pt idx="8">
                  <c:v>450.88513</c:v>
                </c:pt>
                <c:pt idx="9">
                  <c:v>416.41615999999999</c:v>
                </c:pt>
                <c:pt idx="10">
                  <c:v>328.38084600000002</c:v>
                </c:pt>
                <c:pt idx="11">
                  <c:v>303.35322100000002</c:v>
                </c:pt>
                <c:pt idx="12">
                  <c:v>274.668184</c:v>
                </c:pt>
                <c:pt idx="13">
                  <c:v>266.95459499999998</c:v>
                </c:pt>
                <c:pt idx="14">
                  <c:v>142.250846</c:v>
                </c:pt>
                <c:pt idx="15">
                  <c:v>94.817931999999999</c:v>
                </c:pt>
                <c:pt idx="16">
                  <c:v>89.031589999999994</c:v>
                </c:pt>
                <c:pt idx="17">
                  <c:v>84.769122999999993</c:v>
                </c:pt>
                <c:pt idx="18">
                  <c:v>61.734881999999999</c:v>
                </c:pt>
                <c:pt idx="19">
                  <c:v>53.973723</c:v>
                </c:pt>
                <c:pt idx="20">
                  <c:v>48.991791999999997</c:v>
                </c:pt>
                <c:pt idx="21">
                  <c:v>42.893638000000003</c:v>
                </c:pt>
                <c:pt idx="22">
                  <c:v>40.158830000000002</c:v>
                </c:pt>
                <c:pt idx="23">
                  <c:v>26.846592999999999</c:v>
                </c:pt>
                <c:pt idx="24">
                  <c:v>21.086689</c:v>
                </c:pt>
                <c:pt idx="25">
                  <c:v>18.527090000000001</c:v>
                </c:pt>
                <c:pt idx="26">
                  <c:v>17.392158999999999</c:v>
                </c:pt>
                <c:pt idx="27">
                  <c:v>12.861940000000001</c:v>
                </c:pt>
              </c:numCache>
            </c:numRef>
          </c:val>
        </c:ser>
        <c:dLbls>
          <c:showLegendKey val="0"/>
          <c:showVal val="0"/>
          <c:showCatName val="0"/>
          <c:showSerName val="0"/>
          <c:showPercent val="0"/>
          <c:showBubbleSize val="0"/>
        </c:dLbls>
        <c:gapWidth val="120"/>
        <c:axId val="326885552"/>
        <c:axId val="326883920"/>
      </c:barChart>
      <c:catAx>
        <c:axId val="3268855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l-GR"/>
          </a:p>
        </c:txPr>
        <c:crossAx val="326883920"/>
        <c:crosses val="autoZero"/>
        <c:auto val="1"/>
        <c:lblAlgn val="ctr"/>
        <c:lblOffset val="100"/>
        <c:noMultiLvlLbl val="0"/>
      </c:catAx>
      <c:valAx>
        <c:axId val="326883920"/>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l-GR"/>
          </a:p>
        </c:txPr>
        <c:crossAx val="326885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l-G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rgbClr val="002060"/>
                </a:solidFill>
                <a:latin typeface="+mn-lt"/>
                <a:ea typeface="+mn-ea"/>
                <a:cs typeface="+mn-cs"/>
              </a:defRPr>
            </a:pPr>
            <a:r>
              <a:rPr lang="el-GR" sz="1200" b="1">
                <a:solidFill>
                  <a:srgbClr val="002060"/>
                </a:solidFill>
              </a:rPr>
              <a:t>Αριθμός συμμετοχών σε εγκεκριμένα</a:t>
            </a:r>
            <a:r>
              <a:rPr lang="el-GR" sz="1200" b="1" baseline="0">
                <a:solidFill>
                  <a:srgbClr val="002060"/>
                </a:solidFill>
              </a:rPr>
              <a:t> έργα </a:t>
            </a:r>
            <a:r>
              <a:rPr lang="el-GR" sz="1200" b="1">
                <a:solidFill>
                  <a:srgbClr val="002060"/>
                </a:solidFill>
              </a:rPr>
              <a:t>στον Ορίζοντα</a:t>
            </a:r>
            <a:r>
              <a:rPr lang="el-GR" sz="1200" b="1" baseline="0">
                <a:solidFill>
                  <a:srgbClr val="002060"/>
                </a:solidFill>
              </a:rPr>
              <a:t> 2020</a:t>
            </a:r>
            <a:br>
              <a:rPr lang="el-GR" sz="1200" b="1" baseline="0">
                <a:solidFill>
                  <a:srgbClr val="002060"/>
                </a:solidFill>
              </a:rPr>
            </a:br>
            <a:r>
              <a:rPr lang="el-GR" sz="1200" b="1" i="0" u="none" strike="noStrike" kern="1200" spc="0" baseline="0">
                <a:solidFill>
                  <a:srgbClr val="002060"/>
                </a:solidFill>
                <a:latin typeface="+mn-lt"/>
                <a:ea typeface="+mn-ea"/>
                <a:cs typeface="+mn-cs"/>
              </a:rPr>
              <a:t>στην Ελλάδα και τις χώρες της ΕΕ28 </a:t>
            </a:r>
          </a:p>
          <a:p>
            <a:pPr marL="0" marR="0" indent="0" algn="ctr" defTabSz="914400" rtl="0" eaLnBrk="1" fontAlgn="auto" latinLnBrk="0" hangingPunct="1">
              <a:lnSpc>
                <a:spcPct val="100000"/>
              </a:lnSpc>
              <a:spcBef>
                <a:spcPts val="0"/>
              </a:spcBef>
              <a:spcAft>
                <a:spcPts val="0"/>
              </a:spcAft>
              <a:buClrTx/>
              <a:buSzTx/>
              <a:buFontTx/>
              <a:buNone/>
              <a:tabLst/>
              <a:defRPr sz="1200" b="1">
                <a:solidFill>
                  <a:srgbClr val="002060"/>
                </a:solidFill>
              </a:defRPr>
            </a:pPr>
            <a:endParaRPr lang="el-GR" sz="1200" b="1">
              <a:solidFill>
                <a:srgbClr val="002060"/>
              </a:solidFill>
            </a:endParaRPr>
          </a:p>
        </c:rich>
      </c:tx>
      <c:layout>
        <c:manualLayout>
          <c:xMode val="edge"/>
          <c:yMode val="edge"/>
          <c:x val="0.12815409701694264"/>
          <c:y val="4.115979233003398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rgbClr val="002060"/>
              </a:solidFill>
              <a:latin typeface="+mn-lt"/>
              <a:ea typeface="+mn-ea"/>
              <a:cs typeface="+mn-cs"/>
            </a:defRPr>
          </a:pPr>
          <a:endParaRPr lang="el-GR"/>
        </a:p>
      </c:txPr>
    </c:title>
    <c:autoTitleDeleted val="0"/>
    <c:plotArea>
      <c:layout>
        <c:manualLayout>
          <c:layoutTarget val="inner"/>
          <c:xMode val="edge"/>
          <c:yMode val="edge"/>
          <c:x val="0.22116776027996501"/>
          <c:y val="0.17804233930218183"/>
          <c:w val="0.74317257217847765"/>
          <c:h val="0.79558852440742212"/>
        </c:manualLayout>
      </c:layout>
      <c:barChart>
        <c:barDir val="bar"/>
        <c:grouping val="clustered"/>
        <c:varyColors val="0"/>
        <c:ser>
          <c:idx val="0"/>
          <c:order val="0"/>
          <c:spPr>
            <a:solidFill>
              <a:srgbClr val="002060"/>
            </a:solidFill>
            <a:ln>
              <a:noFill/>
            </a:ln>
            <a:effectLst/>
          </c:spPr>
          <c:invertIfNegative val="0"/>
          <c:dPt>
            <c:idx val="9"/>
            <c:invertIfNegative val="0"/>
            <c:bubble3D val="0"/>
            <c:spPr>
              <a:solidFill>
                <a:srgbClr val="E44535"/>
              </a:solidFill>
              <a:ln>
                <a:noFill/>
              </a:ln>
              <a:effectLst/>
            </c:spPr>
          </c:dPt>
          <c:dLbls>
            <c:dLbl>
              <c:idx val="0"/>
              <c:layout/>
              <c:tx>
                <c:rich>
                  <a:bodyPr/>
                  <a:lstStyle/>
                  <a:p>
                    <a:fld id="{83A23CE7-CF71-4828-AADB-E498936B1BC8}" type="VALUE">
                      <a:rPr lang="en-US"/>
                      <a:pPr/>
                      <a:t>[ΤΙΜΗ]</a:t>
                    </a:fld>
                    <a:endParaRPr lang="el-G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9"/>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E44535"/>
                      </a:solidFill>
                      <a:latin typeface="+mn-lt"/>
                      <a:ea typeface="+mn-ea"/>
                      <a:cs typeface="+mn-cs"/>
                    </a:defRPr>
                  </a:pPr>
                  <a:endParaRPr lang="el-GR"/>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[FIGURES_EL.xlsx]Φύλλο1!$A$69:$A$96</c:f>
              <c:strCache>
                <c:ptCount val="28"/>
                <c:pt idx="0">
                  <c:v>UK - United Kingdom</c:v>
                </c:pt>
                <c:pt idx="1">
                  <c:v>DE - Germany</c:v>
                </c:pt>
                <c:pt idx="2">
                  <c:v>ES - Spain</c:v>
                </c:pt>
                <c:pt idx="3">
                  <c:v>IT - Italy</c:v>
                </c:pt>
                <c:pt idx="4">
                  <c:v>FR - France</c:v>
                </c:pt>
                <c:pt idx="5">
                  <c:v>NL - Netherlands</c:v>
                </c:pt>
                <c:pt idx="6">
                  <c:v>BE - Belgium</c:v>
                </c:pt>
                <c:pt idx="7">
                  <c:v>SE - Sweden</c:v>
                </c:pt>
                <c:pt idx="8">
                  <c:v>AT - Austria</c:v>
                </c:pt>
                <c:pt idx="9">
                  <c:v>EL - Greece</c:v>
                </c:pt>
                <c:pt idx="10">
                  <c:v>DK - Denmark</c:v>
                </c:pt>
                <c:pt idx="11">
                  <c:v>PT - Portugal</c:v>
                </c:pt>
                <c:pt idx="12">
                  <c:v>FI - Finland</c:v>
                </c:pt>
                <c:pt idx="13">
                  <c:v>IE - Ireland</c:v>
                </c:pt>
                <c:pt idx="14">
                  <c:v>PL - Poland</c:v>
                </c:pt>
                <c:pt idx="15">
                  <c:v>CZ - Czech Republic</c:v>
                </c:pt>
                <c:pt idx="16">
                  <c:v>HU - Hungary</c:v>
                </c:pt>
                <c:pt idx="17">
                  <c:v>RO - Romania</c:v>
                </c:pt>
                <c:pt idx="18">
                  <c:v>SI - Slovenia</c:v>
                </c:pt>
                <c:pt idx="19">
                  <c:v>EE - Estonia</c:v>
                </c:pt>
                <c:pt idx="20">
                  <c:v>BG - Bulgaria</c:v>
                </c:pt>
                <c:pt idx="21">
                  <c:v>CY - Cyprus</c:v>
                </c:pt>
                <c:pt idx="22">
                  <c:v>SK - Slovakia</c:v>
                </c:pt>
                <c:pt idx="23">
                  <c:v>HR - Croatia</c:v>
                </c:pt>
                <c:pt idx="24">
                  <c:v>LU - Luxembourg</c:v>
                </c:pt>
                <c:pt idx="25">
                  <c:v>LT - Lithuania</c:v>
                </c:pt>
                <c:pt idx="26">
                  <c:v>LV - Latvia</c:v>
                </c:pt>
                <c:pt idx="27">
                  <c:v>MT - Malta</c:v>
                </c:pt>
              </c:strCache>
            </c:strRef>
          </c:cat>
          <c:val>
            <c:numRef>
              <c:f>[FIGURES_EL.xlsx]Φύλλο1!$B$69:$B$96</c:f>
              <c:numCache>
                <c:formatCode>#,##0</c:formatCode>
                <c:ptCount val="28"/>
                <c:pt idx="0">
                  <c:v>4991</c:v>
                </c:pt>
                <c:pt idx="1">
                  <c:v>4884</c:v>
                </c:pt>
                <c:pt idx="2">
                  <c:v>3828</c:v>
                </c:pt>
                <c:pt idx="3">
                  <c:v>3546</c:v>
                </c:pt>
                <c:pt idx="4">
                  <c:v>3348</c:v>
                </c:pt>
                <c:pt idx="5">
                  <c:v>2457</c:v>
                </c:pt>
                <c:pt idx="6">
                  <c:v>1687</c:v>
                </c:pt>
                <c:pt idx="7">
                  <c:v>1124</c:v>
                </c:pt>
                <c:pt idx="8">
                  <c:v>1101</c:v>
                </c:pt>
                <c:pt idx="9">
                  <c:v>1071</c:v>
                </c:pt>
                <c:pt idx="10">
                  <c:v>900</c:v>
                </c:pt>
                <c:pt idx="11">
                  <c:v>836</c:v>
                </c:pt>
                <c:pt idx="12">
                  <c:v>740</c:v>
                </c:pt>
                <c:pt idx="13">
                  <c:v>647</c:v>
                </c:pt>
                <c:pt idx="14">
                  <c:v>618</c:v>
                </c:pt>
                <c:pt idx="15">
                  <c:v>377</c:v>
                </c:pt>
                <c:pt idx="16">
                  <c:v>352</c:v>
                </c:pt>
                <c:pt idx="17">
                  <c:v>344</c:v>
                </c:pt>
                <c:pt idx="18">
                  <c:v>321</c:v>
                </c:pt>
                <c:pt idx="19">
                  <c:v>196</c:v>
                </c:pt>
                <c:pt idx="20">
                  <c:v>178</c:v>
                </c:pt>
                <c:pt idx="21">
                  <c:v>173</c:v>
                </c:pt>
                <c:pt idx="22">
                  <c:v>166</c:v>
                </c:pt>
                <c:pt idx="23">
                  <c:v>153</c:v>
                </c:pt>
                <c:pt idx="24">
                  <c:v>127</c:v>
                </c:pt>
                <c:pt idx="25">
                  <c:v>123</c:v>
                </c:pt>
                <c:pt idx="26">
                  <c:v>112</c:v>
                </c:pt>
                <c:pt idx="27">
                  <c:v>67</c:v>
                </c:pt>
              </c:numCache>
            </c:numRef>
          </c:val>
        </c:ser>
        <c:dLbls>
          <c:showLegendKey val="0"/>
          <c:showVal val="0"/>
          <c:showCatName val="0"/>
          <c:showSerName val="0"/>
          <c:showPercent val="0"/>
          <c:showBubbleSize val="0"/>
        </c:dLbls>
        <c:gapWidth val="120"/>
        <c:axId val="326888272"/>
        <c:axId val="326887728"/>
      </c:barChart>
      <c:catAx>
        <c:axId val="3268882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l-GR"/>
          </a:p>
        </c:txPr>
        <c:crossAx val="326887728"/>
        <c:crosses val="autoZero"/>
        <c:auto val="1"/>
        <c:lblAlgn val="ctr"/>
        <c:lblOffset val="100"/>
        <c:noMultiLvlLbl val="0"/>
      </c:catAx>
      <c:valAx>
        <c:axId val="32688772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l-GR"/>
          </a:p>
        </c:txPr>
        <c:crossAx val="326888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l-G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r>
              <a:rPr lang="el-GR" b="1" baseline="0">
                <a:solidFill>
                  <a:srgbClr val="E44535"/>
                </a:solidFill>
              </a:rPr>
              <a:t> </a:t>
            </a:r>
            <a:r>
              <a:rPr lang="el-GR" b="1">
                <a:solidFill>
                  <a:srgbClr val="002060"/>
                </a:solidFill>
              </a:rPr>
              <a:t>Ορίζοντας 2020 - ΚΟΙΝΩΝΙΚΕΣ ΠΡΟΚΛΗΣΕΙΣ</a:t>
            </a:r>
          </a:p>
          <a:p>
            <a:pPr>
              <a:defRPr b="1">
                <a:solidFill>
                  <a:srgbClr val="002060"/>
                </a:solidFill>
              </a:defRPr>
            </a:pPr>
            <a:r>
              <a:rPr lang="el-GR" sz="1300" b="1">
                <a:solidFill>
                  <a:srgbClr val="002060"/>
                </a:solidFill>
              </a:rPr>
              <a:t>Κοινοτική χρηματοδότηση στην</a:t>
            </a:r>
            <a:r>
              <a:rPr lang="el-GR" sz="1300" b="1" baseline="0">
                <a:solidFill>
                  <a:srgbClr val="002060"/>
                </a:solidFill>
              </a:rPr>
              <a:t> Ελλάδα </a:t>
            </a:r>
            <a:r>
              <a:rPr lang="el-GR" sz="1300" b="1">
                <a:solidFill>
                  <a:srgbClr val="002060"/>
                </a:solidFill>
              </a:rPr>
              <a:t>ανά επιμέρους πρόγραμμα (εκατ. €) </a:t>
            </a:r>
          </a:p>
        </c:rich>
      </c:tx>
      <c:layout>
        <c:manualLayout>
          <c:xMode val="edge"/>
          <c:yMode val="edge"/>
          <c:x val="0.11682526807264668"/>
          <c:y val="1.8516820172852769E-4"/>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endParaRPr lang="el-GR"/>
        </a:p>
      </c:txPr>
    </c:title>
    <c:autoTitleDeleted val="0"/>
    <c:plotArea>
      <c:layout>
        <c:manualLayout>
          <c:layoutTarget val="inner"/>
          <c:xMode val="edge"/>
          <c:yMode val="edge"/>
          <c:x val="0.49346693045280587"/>
          <c:y val="0.13307366582764665"/>
          <c:w val="0.46934847614901126"/>
          <c:h val="0.83990879404492413"/>
        </c:manualLayout>
      </c:layout>
      <c:barChart>
        <c:barDir val="bar"/>
        <c:grouping val="clustered"/>
        <c:varyColors val="0"/>
        <c:ser>
          <c:idx val="0"/>
          <c:order val="0"/>
          <c:spPr>
            <a:solidFill>
              <a:srgbClr val="E44535"/>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E44535"/>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Φύλλο2!$A$81:$A$87</c:f>
              <c:strCache>
                <c:ptCount val="7"/>
                <c:pt idx="0">
                  <c:v>Υγεία, δημογραφική μεταβολή και ευημερία</c:v>
                </c:pt>
                <c:pt idx="1">
                  <c:v>Ασφαλείς κοινωνίες – Προστασία της ελευθερίας και της ασφάλειας της Ευρώπης και των πολιτών της</c:v>
                </c:pt>
                <c:pt idx="2">
                  <c:v>Δράση για το κλίμα, περιβάλλον, αποδοτικότητα πόρων και πρώτες ύλες</c:v>
                </c:pt>
                <c:pt idx="3">
                  <c:v>Ασφαλής, καθαρή και αποδοτική ενέργεια</c:v>
                </c:pt>
                <c:pt idx="4">
                  <c:v>Έξυπνες, πράσινες και ολοκληρωμένες μεταφορές</c:v>
                </c:pt>
                <c:pt idx="5">
                  <c:v>Η Ευρώπη σε έναν μεταβαλλόμενο κόσμο – Πολυδεκτικές, καινοτόμες και στοχαστικές κοινωνίες</c:v>
                </c:pt>
                <c:pt idx="6">
                  <c:v>Επισιτιστική ασφάλεια, βιώσιμη γεωργία και δασοκομία, θαλάσσια και ναυτιλιακή έρευνα, έρευνα εσωτερικών υδάτων και βιοοικονομία</c:v>
                </c:pt>
              </c:strCache>
            </c:strRef>
          </c:cat>
          <c:val>
            <c:numRef>
              <c:f>Φύλλο2!$B$81:$B$87</c:f>
              <c:numCache>
                <c:formatCode>0.00</c:formatCode>
                <c:ptCount val="7"/>
                <c:pt idx="0">
                  <c:v>28.260465</c:v>
                </c:pt>
                <c:pt idx="1">
                  <c:v>27.311378999999999</c:v>
                </c:pt>
                <c:pt idx="2">
                  <c:v>19.065588999999999</c:v>
                </c:pt>
                <c:pt idx="3">
                  <c:v>18.220587999999999</c:v>
                </c:pt>
                <c:pt idx="4">
                  <c:v>14.543794</c:v>
                </c:pt>
                <c:pt idx="5">
                  <c:v>12.779016</c:v>
                </c:pt>
                <c:pt idx="6">
                  <c:v>11.977790000000001</c:v>
                </c:pt>
              </c:numCache>
            </c:numRef>
          </c:val>
        </c:ser>
        <c:dLbls>
          <c:showLegendKey val="0"/>
          <c:showVal val="0"/>
          <c:showCatName val="0"/>
          <c:showSerName val="0"/>
          <c:showPercent val="0"/>
          <c:showBubbleSize val="0"/>
        </c:dLbls>
        <c:gapWidth val="120"/>
        <c:axId val="326889904"/>
        <c:axId val="326885008"/>
      </c:barChart>
      <c:catAx>
        <c:axId val="3268899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l-GR"/>
          </a:p>
        </c:txPr>
        <c:crossAx val="326885008"/>
        <c:crosses val="autoZero"/>
        <c:auto val="1"/>
        <c:lblAlgn val="ctr"/>
        <c:lblOffset val="100"/>
        <c:noMultiLvlLbl val="0"/>
      </c:catAx>
      <c:valAx>
        <c:axId val="326885008"/>
        <c:scaling>
          <c:orientation val="minMax"/>
        </c:scaling>
        <c:delete val="1"/>
        <c:axPos val="t"/>
        <c:majorGridlines>
          <c:spPr>
            <a:ln w="9525" cap="flat" cmpd="sng" algn="ctr">
              <a:noFill/>
              <a:round/>
            </a:ln>
            <a:effectLst/>
          </c:spPr>
        </c:majorGridlines>
        <c:numFmt formatCode="0.00" sourceLinked="1"/>
        <c:majorTickMark val="none"/>
        <c:minorTickMark val="none"/>
        <c:tickLblPos val="nextTo"/>
        <c:crossAx val="326889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l-G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r>
              <a:rPr lang="en-US" b="1">
                <a:solidFill>
                  <a:srgbClr val="002060"/>
                </a:solidFill>
              </a:rPr>
              <a:t>O</a:t>
            </a:r>
            <a:r>
              <a:rPr lang="el-GR" b="1">
                <a:solidFill>
                  <a:srgbClr val="002060"/>
                </a:solidFill>
              </a:rPr>
              <a:t>ρίζοντα</a:t>
            </a:r>
            <a:r>
              <a:rPr lang="el-GR" b="1" baseline="0">
                <a:solidFill>
                  <a:srgbClr val="002060"/>
                </a:solidFill>
              </a:rPr>
              <a:t>ς 2020 - </a:t>
            </a:r>
            <a:r>
              <a:rPr lang="el-GR" b="1">
                <a:solidFill>
                  <a:srgbClr val="002060"/>
                </a:solidFill>
              </a:rPr>
              <a:t>ΒΙΟΜΗΧΑΝΙΚΗ ΥΠΕΡΟΧΗ</a:t>
            </a:r>
          </a:p>
          <a:p>
            <a:pPr>
              <a:defRPr b="1">
                <a:solidFill>
                  <a:srgbClr val="002060"/>
                </a:solidFill>
              </a:defRPr>
            </a:pPr>
            <a:r>
              <a:rPr lang="el-GR" sz="1300" b="1">
                <a:solidFill>
                  <a:srgbClr val="002060"/>
                </a:solidFill>
              </a:rPr>
              <a:t>Κοινοτική χρηματοδότηση στην Ελλάδα ανά επιμέρους πρόγραμμα (εκατ. €) </a:t>
            </a:r>
          </a:p>
        </c:rich>
      </c:tx>
      <c:layout>
        <c:manualLayout>
          <c:xMode val="edge"/>
          <c:yMode val="edge"/>
          <c:x val="0.11612329313266222"/>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endParaRPr lang="el-GR"/>
        </a:p>
      </c:txPr>
    </c:title>
    <c:autoTitleDeleted val="0"/>
    <c:plotArea>
      <c:layout>
        <c:manualLayout>
          <c:layoutTarget val="inner"/>
          <c:xMode val="edge"/>
          <c:yMode val="edge"/>
          <c:x val="0.49346693045280587"/>
          <c:y val="0.13307366582764665"/>
          <c:w val="0.46934847614901126"/>
          <c:h val="0.83990879404492413"/>
        </c:manualLayout>
      </c:layout>
      <c:barChart>
        <c:barDir val="bar"/>
        <c:grouping val="clustered"/>
        <c:varyColors val="0"/>
        <c:ser>
          <c:idx val="0"/>
          <c:order val="0"/>
          <c:spPr>
            <a:solidFill>
              <a:srgbClr val="E44535"/>
            </a:solidFill>
            <a:ln>
              <a:noFill/>
            </a:ln>
            <a:effectLst/>
          </c:spPr>
          <c:invertIfNegative val="0"/>
          <c:dPt>
            <c:idx val="0"/>
            <c:invertIfNegative val="0"/>
            <c:bubble3D val="0"/>
            <c:spPr>
              <a:solidFill>
                <a:srgbClr val="E44535"/>
              </a:solidFill>
              <a:ln>
                <a:noFill/>
              </a:ln>
              <a:effectLst/>
            </c:spPr>
          </c:dPt>
          <c:dPt>
            <c:idx val="1"/>
            <c:invertIfNegative val="0"/>
            <c:bubble3D val="0"/>
            <c:spPr>
              <a:solidFill>
                <a:srgbClr val="E44535"/>
              </a:solidFill>
              <a:ln>
                <a:noFill/>
              </a:ln>
              <a:effectLst/>
            </c:spPr>
          </c:dPt>
          <c:dPt>
            <c:idx val="2"/>
            <c:invertIfNegative val="0"/>
            <c:bubble3D val="0"/>
            <c:spPr>
              <a:solidFill>
                <a:srgbClr val="E44535"/>
              </a:solidFill>
              <a:ln>
                <a:noFill/>
              </a:ln>
              <a:effectLst/>
            </c:spPr>
          </c:dPt>
          <c:dPt>
            <c:idx val="3"/>
            <c:invertIfNegative val="0"/>
            <c:bubble3D val="0"/>
            <c:spPr>
              <a:solidFill>
                <a:srgbClr val="E44535"/>
              </a:solidFill>
              <a:ln>
                <a:noFill/>
              </a:ln>
              <a:effectLst/>
            </c:spPr>
          </c:dPt>
          <c:dPt>
            <c:idx val="4"/>
            <c:invertIfNegative val="0"/>
            <c:bubble3D val="0"/>
            <c:spPr>
              <a:solidFill>
                <a:srgbClr val="E44535"/>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E44535"/>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[FIGURES_EL.xlsx]Φύλλο2!$A$100:$A$109</c:f>
              <c:strCache>
                <c:ptCount val="9"/>
                <c:pt idx="0">
                  <c:v>Τεχνολογίες Πληροφορίας και Επικοινωνιών (ICT)</c:v>
                </c:pt>
                <c:pt idx="1">
                  <c:v>Τεχνολογίες προηγμένης βιομηχανικής παραγωγής</c:v>
                </c:pt>
                <c:pt idx="2">
                  <c:v>Διαστημική τεχνολογία</c:v>
                </c:pt>
                <c:pt idx="3">
                  <c:v>Νανοτεχνολογίες</c:v>
                </c:pt>
                <c:pt idx="4">
                  <c:v>Προηγμένα υλικά</c:v>
                </c:pt>
                <c:pt idx="5">
                  <c:v>Καινοτομία στις μικρομεσαίες επιχειρήσεις</c:v>
                </c:pt>
                <c:pt idx="6">
                  <c:v>Βιομηχανική Υπεροχή - Cross-theme</c:v>
                </c:pt>
                <c:pt idx="7">
                  <c:v>Πρόσβαση σε κεφάλαια κινδύνου</c:v>
                </c:pt>
                <c:pt idx="8">
                  <c:v>Βιοτεχνολογία</c:v>
                </c:pt>
              </c:strCache>
              <c:extLst/>
            </c:strRef>
          </c:cat>
          <c:val>
            <c:numRef>
              <c:f>[FIGURES_EL.xlsx]Φύλλο2!$C$100:$C$109</c:f>
              <c:numCache>
                <c:formatCode>0.0</c:formatCode>
                <c:ptCount val="9"/>
                <c:pt idx="0">
                  <c:v>65.097251999999997</c:v>
                </c:pt>
                <c:pt idx="1">
                  <c:v>14.231204999999999</c:v>
                </c:pt>
                <c:pt idx="2">
                  <c:v>5.1210079999999998</c:v>
                </c:pt>
                <c:pt idx="3">
                  <c:v>4.7865880000000001</c:v>
                </c:pt>
                <c:pt idx="4">
                  <c:v>4.1765299999999996</c:v>
                </c:pt>
                <c:pt idx="5">
                  <c:v>1.4886699999999999</c:v>
                </c:pt>
                <c:pt idx="6">
                  <c:v>1.4260429999999999</c:v>
                </c:pt>
                <c:pt idx="7">
                  <c:v>0.12</c:v>
                </c:pt>
                <c:pt idx="8">
                  <c:v>0</c:v>
                </c:pt>
              </c:numCache>
              <c:extLst/>
            </c:numRef>
          </c:val>
        </c:ser>
        <c:dLbls>
          <c:showLegendKey val="0"/>
          <c:showVal val="0"/>
          <c:showCatName val="0"/>
          <c:showSerName val="0"/>
          <c:showPercent val="0"/>
          <c:showBubbleSize val="0"/>
        </c:dLbls>
        <c:gapWidth val="120"/>
        <c:axId val="327662752"/>
        <c:axId val="327663296"/>
      </c:barChart>
      <c:catAx>
        <c:axId val="327662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l-GR"/>
          </a:p>
        </c:txPr>
        <c:crossAx val="327663296"/>
        <c:crosses val="autoZero"/>
        <c:auto val="1"/>
        <c:lblAlgn val="ctr"/>
        <c:lblOffset val="100"/>
        <c:noMultiLvlLbl val="0"/>
      </c:catAx>
      <c:valAx>
        <c:axId val="327663296"/>
        <c:scaling>
          <c:orientation val="minMax"/>
        </c:scaling>
        <c:delete val="1"/>
        <c:axPos val="t"/>
        <c:majorGridlines>
          <c:spPr>
            <a:ln w="9525" cap="flat" cmpd="sng" algn="ctr">
              <a:noFill/>
              <a:round/>
            </a:ln>
            <a:effectLst/>
          </c:spPr>
        </c:majorGridlines>
        <c:numFmt formatCode="0.0" sourceLinked="1"/>
        <c:majorTickMark val="none"/>
        <c:minorTickMark val="none"/>
        <c:tickLblPos val="nextTo"/>
        <c:crossAx val="327662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l-G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r>
              <a:rPr lang="el-GR" b="1" baseline="0">
                <a:solidFill>
                  <a:srgbClr val="002060"/>
                </a:solidFill>
              </a:rPr>
              <a:t> Ορίζοντας 2020 - ΕΠΙΣΤΗΜΟΝΙΚΗ ΑΡΙΣΤΕΙΑ</a:t>
            </a:r>
            <a:endParaRPr lang="el-GR" b="1">
              <a:solidFill>
                <a:srgbClr val="002060"/>
              </a:solidFill>
            </a:endParaRPr>
          </a:p>
          <a:p>
            <a:pPr>
              <a:defRPr b="1">
                <a:solidFill>
                  <a:srgbClr val="002060"/>
                </a:solidFill>
              </a:defRPr>
            </a:pPr>
            <a:r>
              <a:rPr lang="el-GR" sz="1300" b="1">
                <a:solidFill>
                  <a:srgbClr val="002060"/>
                </a:solidFill>
              </a:rPr>
              <a:t>Κοινοτική χρηματοδότηση στην Ελλάδα ανά επιμέρους πρόγραμμα (εκατ. €) </a:t>
            </a:r>
          </a:p>
        </c:rich>
      </c:tx>
      <c:layout>
        <c:manualLayout>
          <c:xMode val="edge"/>
          <c:yMode val="edge"/>
          <c:x val="0.14395752648182822"/>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endParaRPr lang="el-GR"/>
        </a:p>
      </c:txPr>
    </c:title>
    <c:autoTitleDeleted val="0"/>
    <c:plotArea>
      <c:layout>
        <c:manualLayout>
          <c:layoutTarget val="inner"/>
          <c:xMode val="edge"/>
          <c:yMode val="edge"/>
          <c:x val="0.49346693045280587"/>
          <c:y val="0.13307366582764665"/>
          <c:w val="0.46934847614901126"/>
          <c:h val="0.83990879404492413"/>
        </c:manualLayout>
      </c:layout>
      <c:barChart>
        <c:barDir val="bar"/>
        <c:grouping val="clustered"/>
        <c:varyColors val="0"/>
        <c:ser>
          <c:idx val="0"/>
          <c:order val="0"/>
          <c:spPr>
            <a:solidFill>
              <a:srgbClr val="E44535"/>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E44535"/>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Φύλλο2!$A$128:$A$131</c:f>
              <c:strCache>
                <c:ptCount val="4"/>
                <c:pt idx="0">
                  <c:v>Δράσεις Marie Sklodowska-Curie</c:v>
                </c:pt>
                <c:pt idx="1">
                  <c:v>Ερευνητικές Υποδομές</c:v>
                </c:pt>
                <c:pt idx="2">
                  <c:v>Μελλοντικές και Αναδυόμενες Τεχνολογίες (FET)</c:v>
                </c:pt>
                <c:pt idx="3">
                  <c:v>Ευρωπαϊκό Συμβούλιο Έρευνας (ERC)</c:v>
                </c:pt>
              </c:strCache>
            </c:strRef>
          </c:cat>
          <c:val>
            <c:numRef>
              <c:f>Φύλλο2!$C$128:$C$131</c:f>
              <c:numCache>
                <c:formatCode>0.00</c:formatCode>
                <c:ptCount val="4"/>
                <c:pt idx="0">
                  <c:v>28.976807999999998</c:v>
                </c:pt>
                <c:pt idx="1">
                  <c:v>20.598710000000001</c:v>
                </c:pt>
                <c:pt idx="2">
                  <c:v>10.741218</c:v>
                </c:pt>
                <c:pt idx="3">
                  <c:v>4.5507629999999999</c:v>
                </c:pt>
              </c:numCache>
            </c:numRef>
          </c:val>
        </c:ser>
        <c:dLbls>
          <c:showLegendKey val="0"/>
          <c:showVal val="0"/>
          <c:showCatName val="0"/>
          <c:showSerName val="0"/>
          <c:showPercent val="0"/>
          <c:showBubbleSize val="0"/>
        </c:dLbls>
        <c:gapWidth val="120"/>
        <c:axId val="327663840"/>
        <c:axId val="327668192"/>
      </c:barChart>
      <c:catAx>
        <c:axId val="3276638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l-GR"/>
          </a:p>
        </c:txPr>
        <c:crossAx val="327668192"/>
        <c:crosses val="autoZero"/>
        <c:auto val="1"/>
        <c:lblAlgn val="ctr"/>
        <c:lblOffset val="100"/>
        <c:noMultiLvlLbl val="0"/>
      </c:catAx>
      <c:valAx>
        <c:axId val="327668192"/>
        <c:scaling>
          <c:orientation val="minMax"/>
        </c:scaling>
        <c:delete val="1"/>
        <c:axPos val="t"/>
        <c:majorGridlines>
          <c:spPr>
            <a:ln w="9525" cap="flat" cmpd="sng" algn="ctr">
              <a:noFill/>
              <a:round/>
            </a:ln>
            <a:effectLst/>
          </c:spPr>
        </c:majorGridlines>
        <c:numFmt formatCode="0.00" sourceLinked="1"/>
        <c:majorTickMark val="none"/>
        <c:minorTickMark val="none"/>
        <c:tickLblPos val="nextTo"/>
        <c:crossAx val="327663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l-G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09F8C-65B2-453A-98CB-A489C869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7</Pages>
  <Words>996</Words>
  <Characters>7008</Characters>
  <Application>Microsoft Office Word</Application>
  <DocSecurity>0</DocSecurity>
  <Lines>58</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EKT</Company>
  <LinksUpToDate>false</LinksUpToDate>
  <CharactersWithSpaces>7989</CharactersWithSpaces>
  <SharedDoc>false</SharedDoc>
  <HLinks>
    <vt:vector size="12" baseType="variant">
      <vt:variant>
        <vt:i4>7471207</vt:i4>
      </vt:variant>
      <vt:variant>
        <vt:i4>3</vt:i4>
      </vt:variant>
      <vt:variant>
        <vt:i4>0</vt:i4>
      </vt:variant>
      <vt:variant>
        <vt:i4>5</vt:i4>
      </vt:variant>
      <vt:variant>
        <vt:lpwstr>http://www.ekt.gr/</vt:lpwstr>
      </vt:variant>
      <vt:variant>
        <vt:lpwstr/>
      </vt:variant>
      <vt:variant>
        <vt:i4>7471207</vt:i4>
      </vt:variant>
      <vt:variant>
        <vt:i4>0</vt:i4>
      </vt:variant>
      <vt:variant>
        <vt:i4>0</vt:i4>
      </vt:variant>
      <vt:variant>
        <vt:i4>5</vt:i4>
      </vt:variant>
      <vt:variant>
        <vt:lpwstr>http://www.ekt.gr/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Μαργαρίτης Προέδρου</dc:creator>
  <cp:keywords/>
  <cp:lastModifiedBy>Μαργαρίτης Προέδρου</cp:lastModifiedBy>
  <cp:revision>38</cp:revision>
  <cp:lastPrinted>2016-07-27T11:00:00Z</cp:lastPrinted>
  <dcterms:created xsi:type="dcterms:W3CDTF">2016-07-14T09:40:00Z</dcterms:created>
  <dcterms:modified xsi:type="dcterms:W3CDTF">2016-07-27T11:59:00Z</dcterms:modified>
</cp:coreProperties>
</file>