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9E890" w14:textId="77777777" w:rsidR="00C562FD" w:rsidRPr="007678C4" w:rsidRDefault="00C562FD" w:rsidP="00652E00">
      <w:pPr>
        <w:spacing w:before="60" w:after="0" w:line="240" w:lineRule="auto"/>
        <w:jc w:val="both"/>
        <w:rPr>
          <w:rFonts w:eastAsia="Times New Roman" w:cstheme="minorHAnsi"/>
          <w:sz w:val="16"/>
        </w:rPr>
      </w:pPr>
    </w:p>
    <w:p w14:paraId="795EC71A" w14:textId="6574A795" w:rsidR="00D23A80" w:rsidRDefault="0004328C" w:rsidP="00FB1113">
      <w:pPr>
        <w:spacing w:before="60" w:after="0" w:line="240" w:lineRule="auto"/>
        <w:jc w:val="center"/>
        <w:rPr>
          <w:rFonts w:cstheme="majorHAnsi"/>
          <w:bCs/>
          <w:color w:val="262626" w:themeColor="text1" w:themeTint="D9"/>
          <w:sz w:val="28"/>
          <w:szCs w:val="20"/>
          <w:lang w:val="el-GR"/>
        </w:rPr>
      </w:pPr>
      <w:r w:rsidRPr="0004328C">
        <w:rPr>
          <w:rFonts w:cstheme="majorHAnsi"/>
          <w:b/>
          <w:bCs/>
          <w:color w:val="262626" w:themeColor="text1" w:themeTint="D9"/>
          <w:sz w:val="32"/>
          <w:lang w:val="el-GR"/>
        </w:rPr>
        <w:t xml:space="preserve">Παρατηρητήριο Δεικτών Ψηφιακής Μετάβασης </w:t>
      </w:r>
      <w:r w:rsidR="00D23A80">
        <w:rPr>
          <w:rFonts w:cstheme="majorHAnsi"/>
          <w:b/>
          <w:bCs/>
          <w:color w:val="262626" w:themeColor="text1" w:themeTint="D9"/>
          <w:sz w:val="32"/>
          <w:lang w:val="el-GR"/>
        </w:rPr>
        <w:t>από το</w:t>
      </w:r>
      <w:r>
        <w:rPr>
          <w:rFonts w:cstheme="majorHAnsi"/>
          <w:b/>
          <w:bCs/>
          <w:color w:val="262626" w:themeColor="text1" w:themeTint="D9"/>
          <w:sz w:val="32"/>
          <w:lang w:val="el-GR"/>
        </w:rPr>
        <w:t xml:space="preserve"> </w:t>
      </w:r>
      <w:r w:rsidR="000E3C6E">
        <w:rPr>
          <w:rFonts w:cstheme="majorHAnsi"/>
          <w:b/>
          <w:bCs/>
          <w:color w:val="262626" w:themeColor="text1" w:themeTint="D9"/>
          <w:sz w:val="32"/>
          <w:lang w:val="el-GR"/>
        </w:rPr>
        <w:t>ΕΚΤ</w:t>
      </w:r>
      <w:r>
        <w:rPr>
          <w:rFonts w:cstheme="majorHAnsi"/>
          <w:b/>
          <w:bCs/>
          <w:color w:val="262626" w:themeColor="text1" w:themeTint="D9"/>
          <w:sz w:val="32"/>
          <w:lang w:val="el-GR"/>
        </w:rPr>
        <w:br/>
      </w:r>
      <w:r w:rsidR="00D23A80" w:rsidRPr="00D23A80">
        <w:rPr>
          <w:rFonts w:cstheme="majorHAnsi"/>
          <w:bCs/>
          <w:color w:val="262626" w:themeColor="text1" w:themeTint="D9"/>
          <w:sz w:val="28"/>
          <w:szCs w:val="20"/>
          <w:lang w:val="el-GR"/>
        </w:rPr>
        <w:t xml:space="preserve">Περισσότεροι από 350 δείκτες σε 9 θεματικές κατηγορίες για τη συγκριτική αποτίμηση των </w:t>
      </w:r>
      <w:r w:rsidR="000E3C6E">
        <w:rPr>
          <w:rFonts w:cstheme="majorHAnsi"/>
          <w:bCs/>
          <w:color w:val="262626" w:themeColor="text1" w:themeTint="D9"/>
          <w:sz w:val="28"/>
          <w:szCs w:val="20"/>
          <w:lang w:val="el-GR"/>
        </w:rPr>
        <w:t xml:space="preserve">ψηφιακών </w:t>
      </w:r>
      <w:r w:rsidR="00D23A80" w:rsidRPr="00D23A80">
        <w:rPr>
          <w:rFonts w:cstheme="majorHAnsi"/>
          <w:bCs/>
          <w:color w:val="262626" w:themeColor="text1" w:themeTint="D9"/>
          <w:sz w:val="28"/>
          <w:szCs w:val="20"/>
          <w:lang w:val="el-GR"/>
        </w:rPr>
        <w:t>επιδόσεων της χώρα</w:t>
      </w:r>
      <w:r w:rsidR="000E3C6E">
        <w:rPr>
          <w:rFonts w:cstheme="majorHAnsi"/>
          <w:bCs/>
          <w:color w:val="262626" w:themeColor="text1" w:themeTint="D9"/>
          <w:sz w:val="28"/>
          <w:szCs w:val="20"/>
          <w:lang w:val="el-GR"/>
        </w:rPr>
        <w:t>ς</w:t>
      </w:r>
    </w:p>
    <w:p w14:paraId="517F287F" w14:textId="77777777" w:rsidR="00D30115" w:rsidRDefault="00D30115" w:rsidP="007E2789">
      <w:pPr>
        <w:spacing w:before="120" w:after="0" w:line="240" w:lineRule="auto"/>
        <w:jc w:val="both"/>
        <w:rPr>
          <w:rFonts w:cstheme="minorHAnsi"/>
          <w:bCs/>
          <w:lang w:val="el-GR"/>
        </w:rPr>
      </w:pPr>
    </w:p>
    <w:p w14:paraId="4C330504" w14:textId="3B67D1D3" w:rsidR="007767BC" w:rsidRDefault="007767BC" w:rsidP="007E2789">
      <w:pPr>
        <w:spacing w:before="120" w:after="0" w:line="240" w:lineRule="auto"/>
        <w:jc w:val="both"/>
        <w:rPr>
          <w:rFonts w:cstheme="minorHAnsi"/>
          <w:bCs/>
          <w:lang w:val="el-GR"/>
        </w:rPr>
      </w:pPr>
      <w:r w:rsidRPr="007767BC">
        <w:rPr>
          <w:rFonts w:cstheme="minorHAnsi"/>
          <w:bCs/>
          <w:lang w:val="el-GR"/>
        </w:rPr>
        <w:t>Η ψηφιακή μετάβαση της χώρας αποτελεί έναν από τους πλέον κρίσιμους άξονες της δημόσιας πολιτικής, με άμεση επίδραση στην ανταγωνιστικότητα της οικονομίας, τη λειτουργία της δημόσιας διοίκησης και την καθημερινότητα των πολιτών. Η παρακολούθηση της πορείας της απαιτεί αξιόπιστα, συγκρίσιμα και διαχρονικά δεδομένα που υποστηρίζουν τον σχεδιασμό και την αξιολόγηση των σχετικών πολιτικών.</w:t>
      </w:r>
    </w:p>
    <w:p w14:paraId="50D1AB52" w14:textId="74F3941E" w:rsidR="007767BC" w:rsidRDefault="007767BC" w:rsidP="007E2789">
      <w:pPr>
        <w:spacing w:before="120" w:after="0" w:line="240" w:lineRule="auto"/>
        <w:jc w:val="both"/>
        <w:rPr>
          <w:rFonts w:cstheme="minorHAnsi"/>
          <w:bCs/>
          <w:lang w:val="el-GR"/>
        </w:rPr>
      </w:pPr>
      <w:r w:rsidRPr="007767BC">
        <w:rPr>
          <w:rFonts w:cstheme="minorHAnsi"/>
          <w:bCs/>
          <w:lang w:val="el-GR"/>
        </w:rPr>
        <w:t>Σε αυτή την ανάγκη ανταποκρίνεται το Παρατηρητήριο Δεικτών Ψηφιακής Μετάβασης (</w:t>
      </w:r>
      <w:hyperlink r:id="rId11" w:history="1">
        <w:r w:rsidRPr="00814B97">
          <w:rPr>
            <w:rStyle w:val="Hyperlink"/>
            <w:rFonts w:cstheme="minorHAnsi"/>
            <w:bCs/>
            <w:lang w:val="el-GR"/>
          </w:rPr>
          <w:t>https://digitaltransition.ekt.gr</w:t>
        </w:r>
      </w:hyperlink>
      <w:r w:rsidRPr="007767BC">
        <w:rPr>
          <w:rFonts w:cstheme="minorHAnsi"/>
          <w:bCs/>
          <w:lang w:val="el-GR"/>
        </w:rPr>
        <w:t>) του Εθνικού Κέντρου Τεκμηρίωσης και Ηλεκτρονικού Περιεχομένου (ΕΚΤ), μια σύγχρονη ψηφιακή υποδομή που μετατρέπει τα δεδομένα σε εργαλείο στρατηγικού σχεδιασμού και τεκμηριωμένης λήψης αποφάσεων.</w:t>
      </w:r>
    </w:p>
    <w:p w14:paraId="329390E4" w14:textId="77777777" w:rsidR="007767BC" w:rsidRPr="007767BC" w:rsidRDefault="007767BC" w:rsidP="007767BC">
      <w:pPr>
        <w:spacing w:before="120" w:after="0" w:line="240" w:lineRule="auto"/>
        <w:jc w:val="both"/>
        <w:rPr>
          <w:rFonts w:cstheme="minorHAnsi"/>
          <w:bCs/>
          <w:lang w:val="el-GR"/>
        </w:rPr>
      </w:pPr>
      <w:r w:rsidRPr="007767BC">
        <w:rPr>
          <w:rFonts w:cstheme="minorHAnsi"/>
          <w:bCs/>
          <w:lang w:val="el-GR"/>
        </w:rPr>
        <w:t>Μέσω του Παρατηρητηρίου, το ΕΚΤ αποτυπώνει με συστηματικό και διαδραστικό τρόπο την πορεία της χώρας στον ψηφιακό μετασχηματισμό. Συγκεντρώνοντας και αναλύοντας αξιόπιστους δείκτες από εθνικούς και διεθνείς οργανισμούς, το Παρατηρητήριο παρακολουθεί τις επιδόσεις της Ελλάδας σε κρίσιμους τομείς ψηφιακής πολιτικής και τις συγκρίνει με τις επιδόσεις άλλων χωρών και με τους στόχους της Ευρωπαϊκής Ένωσης για την Ψηφιακή Δεκαετία 2030.</w:t>
      </w:r>
    </w:p>
    <w:p w14:paraId="0AE28E1C" w14:textId="77777777" w:rsidR="007767BC" w:rsidRPr="007767BC" w:rsidRDefault="007767BC" w:rsidP="007767BC">
      <w:pPr>
        <w:spacing w:before="120" w:after="0" w:line="240" w:lineRule="auto"/>
        <w:jc w:val="both"/>
        <w:rPr>
          <w:rFonts w:cstheme="minorHAnsi"/>
          <w:bCs/>
          <w:lang w:val="el-GR"/>
        </w:rPr>
      </w:pPr>
      <w:r w:rsidRPr="007767BC">
        <w:rPr>
          <w:rFonts w:cstheme="minorHAnsi"/>
          <w:bCs/>
          <w:lang w:val="el-GR"/>
        </w:rPr>
        <w:t>Συνδυάζοντας δεδομένα από διαφορετικές πηγές, προσφέρει μια ενιαία, συνεκτική και συγκρίσιμη εικόνα της ψηφιακής ωριμότητας της χώρας στο ευρωπαϊκό και διεθνές περιβάλλον.</w:t>
      </w:r>
    </w:p>
    <w:p w14:paraId="7CB9AF38" w14:textId="2A6AF484" w:rsidR="00FA40FE" w:rsidRDefault="00FA40FE" w:rsidP="007E2789">
      <w:pPr>
        <w:spacing w:before="120" w:after="0" w:line="240" w:lineRule="auto"/>
        <w:jc w:val="both"/>
        <w:rPr>
          <w:rFonts w:cstheme="minorHAnsi"/>
          <w:bCs/>
          <w:lang w:val="el-GR"/>
        </w:rPr>
      </w:pPr>
      <w:r w:rsidRPr="00FA40FE">
        <w:rPr>
          <w:lang w:val="el-GR"/>
        </w:rPr>
        <w:t>Το περιεχόμενό του οργανώνεται σε τρία συμπληρωματικά επίπεδα, ανά θεματική περιοχή, πλαίσιο αναφοράς και οργανισμό παραγωγής των δεικτών. Η δομή αυτή διευκολύνει την πλοήγηση, τη στοχευμένη ανάλυση και την αξιοποίηση των δεδομένων από διαφορετικές ομάδες χρηστών, σύμφωνα με τις ανάγκες και τα ενδιαφέροντά τους.</w:t>
      </w:r>
    </w:p>
    <w:p w14:paraId="0F0162A8" w14:textId="052CF0CE" w:rsidR="007E2789" w:rsidRPr="00D30115" w:rsidRDefault="007E2789" w:rsidP="007E2789">
      <w:pPr>
        <w:spacing w:before="120" w:after="0" w:line="240" w:lineRule="auto"/>
        <w:jc w:val="both"/>
        <w:rPr>
          <w:rFonts w:cstheme="minorHAnsi"/>
          <w:b/>
          <w:bCs/>
          <w:sz w:val="24"/>
          <w:lang w:val="el-GR"/>
        </w:rPr>
      </w:pPr>
      <w:r w:rsidRPr="00D30115">
        <w:rPr>
          <w:rFonts w:cstheme="minorHAnsi"/>
          <w:b/>
          <w:bCs/>
          <w:sz w:val="24"/>
          <w:lang w:val="el-GR"/>
        </w:rPr>
        <w:t xml:space="preserve">Περιεχόμενο και θεματικές </w:t>
      </w:r>
      <w:r w:rsidR="006272D1">
        <w:rPr>
          <w:rFonts w:cstheme="minorHAnsi"/>
          <w:b/>
          <w:bCs/>
          <w:sz w:val="24"/>
          <w:lang w:val="el-GR"/>
        </w:rPr>
        <w:t>κατηγορίες</w:t>
      </w:r>
    </w:p>
    <w:p w14:paraId="37D681D6" w14:textId="77777777" w:rsidR="003B5F22" w:rsidRDefault="003B5F22" w:rsidP="007E2789">
      <w:pPr>
        <w:spacing w:before="120" w:after="0" w:line="240" w:lineRule="auto"/>
        <w:jc w:val="both"/>
        <w:rPr>
          <w:rFonts w:cstheme="minorHAnsi"/>
          <w:bCs/>
          <w:lang w:val="el-GR"/>
        </w:rPr>
      </w:pPr>
      <w:r w:rsidRPr="003B5F22">
        <w:rPr>
          <w:rFonts w:cstheme="minorHAnsi"/>
          <w:bCs/>
          <w:lang w:val="el-GR"/>
        </w:rPr>
        <w:t>Το Παρατηρητήριο συγκεντρώνει περισσότερους από 350 δείκτες, οι οποίοι αντλούνται από δέκα εθνικούς και διεθνείς οργανισμούς και οργανώνονται σε εννέα θεματικές κατηγορίες. Οι κατηγορίες αυτές καλύπτουν βασικούς άξονες του ψηφιακού μετασχηματισμού, όπως οι ψηφιακές δεξιότητες, οι δημόσιες υπηρεσίες, οι επιχειρήσεις, οι πολίτες, οι υποδομές, η Έρευνα, Τεχνολογία και Καινοτομία (ΕΤΑΚ), η Τεχνητή Νοημοσύνη, ο κλάδος ΤΠΕ, καθώς και ευρύτερους δείκτες που σχετίζονται με την ψηφιακή μετάβαση.</w:t>
      </w:r>
    </w:p>
    <w:p w14:paraId="55B04473" w14:textId="77777777" w:rsidR="003B5F22" w:rsidRDefault="003B5F22" w:rsidP="007E2789">
      <w:pPr>
        <w:spacing w:before="120" w:after="0" w:line="240" w:lineRule="auto"/>
        <w:jc w:val="both"/>
        <w:rPr>
          <w:rFonts w:cstheme="minorHAnsi"/>
          <w:bCs/>
          <w:lang w:val="el-GR"/>
        </w:rPr>
      </w:pPr>
      <w:r w:rsidRPr="003B5F22">
        <w:rPr>
          <w:rFonts w:cstheme="minorHAnsi"/>
          <w:bCs/>
          <w:lang w:val="el-GR"/>
        </w:rPr>
        <w:t>Κάθε θεματική περιοχή αποτυπώνει μια διαφορετική πτυχή της ψηφιακής ωριμότητας της ελληνικής κοινωνίας, οικονομίας και δημόσιας διοίκησης. Για παράδειγμα, η ανάλυση των ψηφιακών δεξιοτήτων συμβάλλει στον εντοπισμό αναντιστοιχιών στην αγορά εργασίας και στον σχεδιασμό στοχευμένων πολιτικών παρεμβάσεων. Αντίστοιχα, η παρακολούθηση της υιοθέτησης ψηφιακών τεχνολογιών από τις επιχειρήσεις και της ψηφιακής τους ωριμότητας παρέχει κρίσιμα δεδομένα για την ενίσχυση της ανταγωνιστικότητας της οικονομίας.</w:t>
      </w:r>
    </w:p>
    <w:p w14:paraId="2636D1E5" w14:textId="77777777" w:rsidR="003B5F22" w:rsidRDefault="003B5F22" w:rsidP="007E2789">
      <w:pPr>
        <w:spacing w:before="120" w:after="0" w:line="240" w:lineRule="auto"/>
        <w:jc w:val="both"/>
        <w:rPr>
          <w:rFonts w:cstheme="minorHAnsi"/>
          <w:bCs/>
          <w:lang w:val="el-GR"/>
        </w:rPr>
      </w:pPr>
      <w:r w:rsidRPr="003B5F22">
        <w:rPr>
          <w:rFonts w:cstheme="minorHAnsi"/>
          <w:bCs/>
          <w:lang w:val="el-GR"/>
        </w:rPr>
        <w:t>Η πολυδιάστατη αυτή προσέγγιση επιτρέπει τη συνολική αποτύπωση της ψηφιακής μετάβασης σε κοινωνικό, οικονομικό και διοικητικό επίπεδο. Παράλληλα, το χρονικό βάθος των δεδομένων, που καλύπτει περίοδο τουλάχιστον τριών ετών, επιτρέπει τη διαχρονική ανάλυση και την αξιολόγηση της εξέλιξης των επιδόσεων.</w:t>
      </w:r>
    </w:p>
    <w:p w14:paraId="20A91212" w14:textId="32CE06B2" w:rsidR="007E2789" w:rsidRPr="002B0B3E" w:rsidRDefault="007E2789" w:rsidP="007E2789">
      <w:pPr>
        <w:spacing w:before="120" w:after="0" w:line="240" w:lineRule="auto"/>
        <w:jc w:val="both"/>
        <w:rPr>
          <w:rFonts w:cstheme="minorHAnsi"/>
          <w:b/>
          <w:bCs/>
          <w:sz w:val="24"/>
          <w:lang w:val="el-GR"/>
        </w:rPr>
      </w:pPr>
      <w:r w:rsidRPr="00D30115">
        <w:rPr>
          <w:rFonts w:cstheme="minorHAnsi"/>
          <w:b/>
          <w:bCs/>
          <w:sz w:val="24"/>
          <w:lang w:val="el-GR"/>
        </w:rPr>
        <w:lastRenderedPageBreak/>
        <w:t xml:space="preserve">Πλαίσια αναφοράς και </w:t>
      </w:r>
      <w:r w:rsidR="002B0B3E">
        <w:rPr>
          <w:rFonts w:cstheme="minorHAnsi"/>
          <w:b/>
          <w:bCs/>
          <w:sz w:val="24"/>
          <w:lang w:val="el-GR"/>
        </w:rPr>
        <w:t>διεθνείς συγκρίσεις</w:t>
      </w:r>
    </w:p>
    <w:p w14:paraId="6FF6A2E2" w14:textId="77777777" w:rsidR="00BB2A65" w:rsidRPr="00BB2A65" w:rsidRDefault="00BB2A65" w:rsidP="00BB2A65">
      <w:pPr>
        <w:spacing w:before="120" w:after="0" w:line="240" w:lineRule="auto"/>
        <w:jc w:val="both"/>
        <w:rPr>
          <w:rFonts w:cstheme="minorHAnsi"/>
          <w:bCs/>
          <w:lang w:val="el-GR"/>
        </w:rPr>
      </w:pPr>
      <w:r w:rsidRPr="00BB2A65">
        <w:rPr>
          <w:rFonts w:cstheme="minorHAnsi"/>
          <w:bCs/>
          <w:lang w:val="el-GR"/>
        </w:rPr>
        <w:t>Σε δεύτερο επίπεδο, το Παρατηρητήριο οργανώνει την πληροφορία ανά πλαίσιο αναφοράς, αξιοποιώντας διεθνείς, ευρωπαϊκούς και εθνικούς δείκτες. Η οργάνωση αυτή διασφαλίζει τη συγκρισιμότητα των δεδομένων και επιτρέπει την παρακολούθηση της θέσης και της πορείας της Ελλάδας στο ευρωπαϊκό και διεθνές περιβάλλον.</w:t>
      </w:r>
    </w:p>
    <w:p w14:paraId="2456D4CE" w14:textId="322E999C" w:rsidR="00BB2A65" w:rsidRDefault="00BB2A65" w:rsidP="00BB2A65">
      <w:pPr>
        <w:spacing w:before="120" w:after="0" w:line="240" w:lineRule="auto"/>
        <w:jc w:val="both"/>
        <w:rPr>
          <w:rFonts w:cstheme="minorHAnsi"/>
          <w:bCs/>
          <w:lang w:val="el-GR"/>
        </w:rPr>
      </w:pPr>
      <w:r w:rsidRPr="00BB2A65">
        <w:rPr>
          <w:rFonts w:cstheme="minorHAnsi"/>
          <w:bCs/>
          <w:lang w:val="el-GR"/>
        </w:rPr>
        <w:t>Στα διεθνή πλαίσια αναφοράς περιλαμβάνονται δείκτες που αποτυπώνουν την ωριμότητα της ψηφιακής διακυβέρνησης, την ανάπτυξη των τεχνολογιών πληροφορικής και επικοινωνιών και την ετοιμότητα των κρατών απέναντι σε αναδυόμενες τεχνολογίες, όπως η Τεχνητή Νοημοσύνη. Ενδεικτικά, περιλαμβάνονται το Government AI Readiness και το AI Preparedness, καθώς και ευρύτερα πλαίσια, όπως το E-Government Development Index, το GovTech Maturity Index, το Digital Governance Index, το ICT Development Index και το IMD World Digital Competitiveness Ranking.</w:t>
      </w:r>
    </w:p>
    <w:p w14:paraId="27798522" w14:textId="77777777" w:rsidR="00BB2A65" w:rsidRPr="00BB2A65" w:rsidRDefault="00BB2A65" w:rsidP="00BB2A65">
      <w:pPr>
        <w:spacing w:before="120" w:after="0" w:line="240" w:lineRule="auto"/>
        <w:jc w:val="both"/>
        <w:rPr>
          <w:rFonts w:cstheme="minorHAnsi"/>
          <w:bCs/>
          <w:lang w:val="el-GR"/>
        </w:rPr>
      </w:pPr>
      <w:r w:rsidRPr="00BB2A65">
        <w:rPr>
          <w:rFonts w:cstheme="minorHAnsi"/>
          <w:bCs/>
          <w:lang w:val="el-GR"/>
        </w:rPr>
        <w:t>Τα ευρωπαϊκά πλαίσια αναφοράς εστιάζουν στην παρακολούθηση της προόδου των κρατών μελών σε σχέση με τις ευρωπαϊκές πολιτικές και τους στόχους για τον ψηφιακό μετασχηματισμό. Σε αυτά περιλαμβάνονται το DESI-Digital Decade, το E-Government Benchmark και το European Innovation Scoreboard, καθώς και μακροοικονομικοί δείκτες της Eurostat, οι οποίοι επιτρέπουν συγκρίσεις εντός της Ευρωπαϊκής Ένωσης.</w:t>
      </w:r>
    </w:p>
    <w:p w14:paraId="40C7C70B" w14:textId="1641754B" w:rsidR="00BB2A65" w:rsidRDefault="00BB2A65" w:rsidP="00BB2A65">
      <w:pPr>
        <w:spacing w:before="120" w:after="0" w:line="240" w:lineRule="auto"/>
        <w:jc w:val="both"/>
        <w:rPr>
          <w:rFonts w:cstheme="minorHAnsi"/>
          <w:bCs/>
          <w:lang w:val="el-GR"/>
        </w:rPr>
      </w:pPr>
      <w:r w:rsidRPr="00BB2A65">
        <w:rPr>
          <w:rFonts w:cstheme="minorHAnsi"/>
          <w:bCs/>
          <w:lang w:val="el-GR"/>
        </w:rPr>
        <w:t>Σε εθνικό επίπεδο, το Παρατηρητήριο αξιοποιεί εξειδικευμένους δείκτες που αποτυπώνουν τις ιδιαίτερες συνθήκες της ελληνικής οικονομίας και δημόσιας διοίκησης. Σε αυτούς περιλαμβάνονται ο δείκτης του ΕΚΤ για τον ψηφιακό μετασχηματισμό των επιχειρήσεων και μακροοικονομικοί δείκτες της Ελληνικής Στατιστικής Αρχής (ΕΛΣΤΑΤ).</w:t>
      </w:r>
    </w:p>
    <w:p w14:paraId="2BC5529E" w14:textId="77777777" w:rsidR="00BB2A65" w:rsidRPr="00D30115" w:rsidRDefault="00BB2A65" w:rsidP="007E2789">
      <w:pPr>
        <w:spacing w:before="120" w:after="0" w:line="240" w:lineRule="auto"/>
        <w:jc w:val="both"/>
        <w:rPr>
          <w:rFonts w:cstheme="minorHAnsi"/>
          <w:b/>
          <w:bCs/>
          <w:sz w:val="24"/>
          <w:lang w:val="el-GR"/>
        </w:rPr>
      </w:pPr>
      <w:r w:rsidRPr="00D30115">
        <w:rPr>
          <w:rFonts w:cstheme="minorHAnsi"/>
          <w:b/>
          <w:bCs/>
          <w:sz w:val="24"/>
          <w:lang w:val="el-GR"/>
        </w:rPr>
        <w:t>Πηγές και τεκμηρίωση των δεδομένων</w:t>
      </w:r>
    </w:p>
    <w:p w14:paraId="4B910D11" w14:textId="77777777" w:rsidR="002B0B3E" w:rsidRDefault="00BB2A65" w:rsidP="007E2789">
      <w:pPr>
        <w:spacing w:before="120" w:after="0" w:line="240" w:lineRule="auto"/>
        <w:jc w:val="both"/>
        <w:rPr>
          <w:rFonts w:cstheme="minorHAnsi"/>
          <w:bCs/>
          <w:lang w:val="el-GR"/>
        </w:rPr>
      </w:pPr>
      <w:r w:rsidRPr="00BB2A65">
        <w:rPr>
          <w:rFonts w:cstheme="minorHAnsi"/>
          <w:bCs/>
          <w:lang w:val="el-GR"/>
        </w:rPr>
        <w:t xml:space="preserve">Το Παρατηρητήριο παρέχει επίσης τη δυνατότητα πλοήγησης ανά οργανισμό παραγωγής των δεικτών, ενισχύοντας τη διαφάνεια και την αξιοπιστία της πληροφορίας. </w:t>
      </w:r>
      <w:r w:rsidRPr="007E2789">
        <w:rPr>
          <w:rFonts w:cstheme="minorHAnsi"/>
          <w:bCs/>
          <w:lang w:val="el-GR"/>
        </w:rPr>
        <w:t xml:space="preserve">Στους οργανισμούς αυτούς </w:t>
      </w:r>
      <w:r w:rsidRPr="00BB2A65">
        <w:rPr>
          <w:rFonts w:cstheme="minorHAnsi"/>
          <w:bCs/>
          <w:lang w:val="el-GR"/>
        </w:rPr>
        <w:t xml:space="preserve">περιλαμβάνονται, μεταξύ άλλων, η Eurostat, ο ΟΗΕ, ο ΟΟΣΑ, η Παγκόσμια Τράπεζα, το ΔΝΤ, το IMD, το Oxford Insights, η Tortoise και το ΕΚΤ. </w:t>
      </w:r>
    </w:p>
    <w:p w14:paraId="1E739174" w14:textId="24E3A080" w:rsidR="00BB2A65" w:rsidRDefault="00BB2A65" w:rsidP="007E2789">
      <w:pPr>
        <w:spacing w:before="120" w:after="0" w:line="240" w:lineRule="auto"/>
        <w:jc w:val="both"/>
        <w:rPr>
          <w:rFonts w:cstheme="minorHAnsi"/>
          <w:bCs/>
          <w:lang w:val="el-GR"/>
        </w:rPr>
      </w:pPr>
      <w:r w:rsidRPr="00BB2A65">
        <w:rPr>
          <w:rFonts w:cstheme="minorHAnsi"/>
          <w:bCs/>
          <w:lang w:val="el-GR"/>
        </w:rPr>
        <w:t>Κάθε δείκτης συνοδεύεται από σαφή τεκμηρίωση της προέλευσης και της μεθοδολογίας του, καθιστώντας το Παρατηρητήριο αξιόπιστο σημείο αναφοράς για την ανάλυση δεδομένων και την τεκμηρίωση δημόσιων πολιτικών.</w:t>
      </w:r>
    </w:p>
    <w:p w14:paraId="6B85B099" w14:textId="77777777" w:rsidR="00D30115" w:rsidRPr="00D30115" w:rsidRDefault="00D30115" w:rsidP="007E2789">
      <w:pPr>
        <w:spacing w:before="120" w:after="0" w:line="240" w:lineRule="auto"/>
        <w:jc w:val="both"/>
        <w:rPr>
          <w:rFonts w:cstheme="minorHAnsi"/>
          <w:b/>
          <w:bCs/>
          <w:sz w:val="24"/>
          <w:lang w:val="el-GR"/>
        </w:rPr>
      </w:pPr>
      <w:r w:rsidRPr="00D30115">
        <w:rPr>
          <w:rFonts w:cstheme="minorHAnsi"/>
          <w:b/>
          <w:bCs/>
          <w:sz w:val="24"/>
          <w:lang w:val="el-GR"/>
        </w:rPr>
        <w:t>Οπτικοποίηση και συγκριτική ανάλυση δεδομένων</w:t>
      </w:r>
    </w:p>
    <w:p w14:paraId="27A0BBDA" w14:textId="77777777" w:rsidR="00D30115" w:rsidRPr="00D30115" w:rsidRDefault="00D30115" w:rsidP="00D30115">
      <w:pPr>
        <w:spacing w:before="120" w:after="0" w:line="240" w:lineRule="auto"/>
        <w:jc w:val="both"/>
        <w:rPr>
          <w:rFonts w:cstheme="minorHAnsi"/>
          <w:bCs/>
          <w:lang w:val="el-GR"/>
        </w:rPr>
      </w:pPr>
      <w:r w:rsidRPr="00D30115">
        <w:rPr>
          <w:rFonts w:cstheme="minorHAnsi"/>
          <w:bCs/>
          <w:lang w:val="el-GR"/>
        </w:rPr>
        <w:t>Οι υπηρεσίες του Παρατηρητηρίου δεν περιορίζονται στην παρουσίαση αριθμητικών δεδομένων. Μέσα από σύγχρονες και διαδραστικές οπτικοποιήσεις, διευκολύνουν την κατανόηση σύνθετων δεικτών και επιτρέπουν τη συστηματική παρακολούθηση τάσεων, επιδόσεων και μεταβολών στον χρόνο.</w:t>
      </w:r>
    </w:p>
    <w:p w14:paraId="0444A0BC" w14:textId="748E6960" w:rsidR="00D30115" w:rsidRPr="00D30115" w:rsidRDefault="00D30115" w:rsidP="00D30115">
      <w:pPr>
        <w:spacing w:before="120" w:after="0" w:line="240" w:lineRule="auto"/>
        <w:jc w:val="both"/>
        <w:rPr>
          <w:rFonts w:cstheme="minorHAnsi"/>
          <w:bCs/>
          <w:lang w:val="el-GR"/>
        </w:rPr>
      </w:pPr>
      <w:r w:rsidRPr="00D30115">
        <w:rPr>
          <w:rFonts w:cstheme="minorHAnsi"/>
          <w:bCs/>
          <w:lang w:val="el-GR"/>
        </w:rPr>
        <w:t xml:space="preserve">Η πλατφόρμα υποστηρίζει τη διαχρονική και διακρατική ανάλυση, επιτρέποντας τη σύγκριση των επιδόσεων της Ελλάδας με άλλες χώρες και με τους μέσους όρους της Ευρωπαϊκής Ένωσης. Παρέχει επίσης τη δυνατότητα αποτύπωσης της ποσοστιαίας </w:t>
      </w:r>
      <w:r w:rsidR="002B0B3E">
        <w:rPr>
          <w:rFonts w:cstheme="minorHAnsi"/>
          <w:bCs/>
          <w:lang w:val="el-GR"/>
        </w:rPr>
        <w:t>μεταβολής</w:t>
      </w:r>
      <w:r w:rsidRPr="00D30115">
        <w:rPr>
          <w:rFonts w:cstheme="minorHAnsi"/>
          <w:bCs/>
          <w:lang w:val="el-GR"/>
        </w:rPr>
        <w:t xml:space="preserve"> κάθε δείκτη, από το πρώτο έτος καταγραφής έως το πιο πρόσφατο διαθέσιμο, συμβάλλοντας στη στρατηγική αποτίμηση, τη στοχοθέτηση και την αξιολόγηση της πορείας της χώρας στον ψηφιακό μετασχηματισμό.</w:t>
      </w:r>
    </w:p>
    <w:p w14:paraId="27B8C838" w14:textId="77777777" w:rsidR="00D30115" w:rsidRDefault="00D30115" w:rsidP="00D30115">
      <w:pPr>
        <w:spacing w:before="120" w:after="0" w:line="240" w:lineRule="auto"/>
        <w:jc w:val="both"/>
        <w:rPr>
          <w:rFonts w:cstheme="minorHAnsi"/>
          <w:bCs/>
          <w:lang w:val="el-GR"/>
        </w:rPr>
      </w:pPr>
      <w:r w:rsidRPr="00D30115">
        <w:rPr>
          <w:rFonts w:cstheme="minorHAnsi"/>
          <w:bCs/>
          <w:lang w:val="el-GR"/>
        </w:rPr>
        <w:t>Κάθε δείκτης συνοδεύεται από αναλυτικές πληροφορίες για το πλαίσιο αναφοράς, τη θεματική ενότητα, τον οργανισμό παραγωγής και τις σχετικές εκθέσεις, διασφαλίζοντας τη διαφάνεια, την αξιοπιστία και την ορθή κατανόηση των δεδομένων.</w:t>
      </w:r>
    </w:p>
    <w:p w14:paraId="75CAE76A" w14:textId="77777777" w:rsidR="00D30115" w:rsidRDefault="00D30115" w:rsidP="007E2789">
      <w:pPr>
        <w:spacing w:before="120" w:after="0" w:line="240" w:lineRule="auto"/>
        <w:jc w:val="both"/>
        <w:rPr>
          <w:rFonts w:cstheme="minorHAnsi"/>
          <w:b/>
          <w:bCs/>
          <w:lang w:val="el-GR"/>
        </w:rPr>
      </w:pPr>
    </w:p>
    <w:p w14:paraId="3CCE27C3" w14:textId="77777777" w:rsidR="00D30115" w:rsidRDefault="00D30115" w:rsidP="007E2789">
      <w:pPr>
        <w:spacing w:before="120" w:after="0" w:line="240" w:lineRule="auto"/>
        <w:jc w:val="both"/>
        <w:rPr>
          <w:rFonts w:cstheme="minorHAnsi"/>
          <w:b/>
          <w:bCs/>
          <w:lang w:val="el-GR"/>
        </w:rPr>
      </w:pPr>
    </w:p>
    <w:p w14:paraId="34DD9408" w14:textId="6DA11B9E" w:rsidR="007E2789" w:rsidRPr="00D30115" w:rsidRDefault="000E3C6E" w:rsidP="007E2789">
      <w:pPr>
        <w:spacing w:before="120" w:after="0" w:line="240" w:lineRule="auto"/>
        <w:jc w:val="both"/>
        <w:rPr>
          <w:rFonts w:cstheme="minorHAnsi"/>
          <w:b/>
          <w:bCs/>
          <w:sz w:val="24"/>
          <w:lang w:val="el-GR"/>
        </w:rPr>
      </w:pPr>
      <w:r w:rsidRPr="00D30115">
        <w:rPr>
          <w:rFonts w:cstheme="minorHAnsi"/>
          <w:b/>
          <w:bCs/>
          <w:sz w:val="24"/>
          <w:lang w:val="el-GR"/>
        </w:rPr>
        <w:t>Σε ποιους απευθύνεται το Παρατηρητήριο</w:t>
      </w:r>
    </w:p>
    <w:p w14:paraId="7C6D156D" w14:textId="4477F713" w:rsidR="00D30115" w:rsidRPr="00D30115" w:rsidRDefault="00D30115" w:rsidP="00D30115">
      <w:pPr>
        <w:spacing w:before="120" w:after="0" w:line="240" w:lineRule="auto"/>
        <w:jc w:val="both"/>
        <w:rPr>
          <w:rFonts w:cstheme="minorHAnsi"/>
          <w:bCs/>
          <w:lang w:val="el-GR"/>
        </w:rPr>
      </w:pPr>
      <w:r w:rsidRPr="00D30115">
        <w:rPr>
          <w:rFonts w:cstheme="minorHAnsi"/>
          <w:bCs/>
          <w:lang w:val="el-GR"/>
        </w:rPr>
        <w:t>Το Παρατηρητήριο Δεικτών Ψηφιακής Μετάβασης απευθύνεται σε φορείς της δημόσιας διοίκησης και διαμορφωτές πολιτικής, προσφέροντας αξιόπιστα και συγκρίσιμα δεδομένα για τον σχεδιασμό, την παρακολούθηση και την αξιολόγηση ψηφιακών παρεμβάσεων και μεταρρυθμίσεων.</w:t>
      </w:r>
    </w:p>
    <w:p w14:paraId="30EBF26F" w14:textId="77777777" w:rsidR="00D30115" w:rsidRPr="00D30115" w:rsidRDefault="00D30115" w:rsidP="00D30115">
      <w:pPr>
        <w:spacing w:before="120" w:after="0" w:line="240" w:lineRule="auto"/>
        <w:jc w:val="both"/>
        <w:rPr>
          <w:rFonts w:cstheme="minorHAnsi"/>
          <w:bCs/>
          <w:lang w:val="el-GR"/>
        </w:rPr>
      </w:pPr>
      <w:r w:rsidRPr="00D30115">
        <w:rPr>
          <w:rFonts w:cstheme="minorHAnsi"/>
          <w:bCs/>
          <w:lang w:val="el-GR"/>
        </w:rPr>
        <w:t>Παράλληλα, υποστηρίζει την ερευνητική και ακαδημαϊκή κοινότητα, τις επιχειρήσεις, καθώς και τους φορείς εκπαίδευσης, απασχόλησης και κατάρτισης, παρέχοντας τεκμηριωμένη πληροφόρηση για την ψηφιακή ωριμότητα, τις τεχνολογικές εξελίξεις και τις ανάγκες της ψηφιακής οικονομίας.</w:t>
      </w:r>
    </w:p>
    <w:p w14:paraId="073C4739" w14:textId="77777777" w:rsidR="00D30115" w:rsidRDefault="00D30115" w:rsidP="002B0B3E">
      <w:pPr>
        <w:spacing w:before="120" w:after="0" w:line="240" w:lineRule="auto"/>
        <w:jc w:val="both"/>
        <w:rPr>
          <w:rFonts w:cstheme="minorHAnsi"/>
          <w:bCs/>
          <w:lang w:val="el-GR"/>
        </w:rPr>
      </w:pPr>
      <w:r w:rsidRPr="00D30115">
        <w:rPr>
          <w:rFonts w:cstheme="minorHAnsi"/>
          <w:bCs/>
          <w:lang w:val="el-GR"/>
        </w:rPr>
        <w:t>Το Παρατηρητήριο απευθύνεται επίσης στους δημοσιογράφους και στην κοινωνία των πολιτών. Η ανοικτή πρόσβαση σε αξιόπιστα και διαφανή δεδομένα υποστηρίζει τη δημοσιογραφική έρευνα, την τεκμηριωμένη ενημέρωση και τον δημόσιο διάλογο, ενισχύοντας παράλληλα την ενεργή συμμετοχή των πολιτών.</w:t>
      </w:r>
    </w:p>
    <w:p w14:paraId="77C74DB2" w14:textId="7661CEDD" w:rsidR="007E2789" w:rsidRPr="007E2789" w:rsidRDefault="007E2789" w:rsidP="00683880">
      <w:pPr>
        <w:spacing w:before="120" w:after="0" w:line="240" w:lineRule="auto"/>
        <w:jc w:val="both"/>
        <w:rPr>
          <w:rFonts w:cstheme="minorHAnsi"/>
          <w:b/>
          <w:bCs/>
          <w:lang w:val="el-GR"/>
        </w:rPr>
      </w:pPr>
      <w:r w:rsidRPr="007E2789">
        <w:rPr>
          <w:rFonts w:cstheme="minorHAnsi"/>
          <w:b/>
          <w:bCs/>
          <w:lang w:val="el-GR"/>
        </w:rPr>
        <w:t xml:space="preserve">Το Παρατηρητήριο </w:t>
      </w:r>
      <w:r w:rsidR="00D23A80">
        <w:rPr>
          <w:rFonts w:cstheme="minorHAnsi"/>
          <w:b/>
          <w:bCs/>
          <w:lang w:val="el-GR"/>
        </w:rPr>
        <w:t>στο</w:t>
      </w:r>
      <w:r w:rsidRPr="007E2789">
        <w:rPr>
          <w:rFonts w:cstheme="minorHAnsi"/>
          <w:b/>
          <w:bCs/>
          <w:lang w:val="el-GR"/>
        </w:rPr>
        <w:t xml:space="preserve"> νέο οικοσύστημα δεδομένων του ΕΚΤ</w:t>
      </w:r>
    </w:p>
    <w:p w14:paraId="1B17BDBB" w14:textId="77777777" w:rsidR="00683880" w:rsidRPr="007E2789" w:rsidRDefault="00683880" w:rsidP="00683880">
      <w:pPr>
        <w:spacing w:before="120" w:after="0" w:line="240" w:lineRule="auto"/>
        <w:jc w:val="both"/>
        <w:rPr>
          <w:rFonts w:cstheme="minorHAnsi"/>
          <w:bCs/>
          <w:lang w:val="el-GR"/>
        </w:rPr>
      </w:pPr>
      <w:r w:rsidRPr="007E2789">
        <w:rPr>
          <w:rFonts w:cstheme="minorHAnsi"/>
          <w:bCs/>
          <w:lang w:val="el-GR"/>
        </w:rPr>
        <w:t>Σε μια εποχή όπου η ψηφιακή πρόοδος αποτελεί βασικό δείκτη αναπτυξιακής δυναμικής και θεσμικής ωριμότητας, το Παρατηρητήριο Δεικτ</w:t>
      </w:r>
      <w:bookmarkStart w:id="0" w:name="_GoBack"/>
      <w:bookmarkEnd w:id="0"/>
      <w:r w:rsidRPr="007E2789">
        <w:rPr>
          <w:rFonts w:cstheme="minorHAnsi"/>
          <w:bCs/>
          <w:lang w:val="el-GR"/>
        </w:rPr>
        <w:t xml:space="preserve">ών Ψηφιακής Μετάβασης του ΕΚΤ αναδεικνύεται σε κρίσιμη υποδομή γνώσης για την Πολιτεία και την κοινωνία. </w:t>
      </w:r>
    </w:p>
    <w:p w14:paraId="48A271D7" w14:textId="77777777" w:rsidR="00D30115" w:rsidRPr="00D30115" w:rsidRDefault="00D30115" w:rsidP="00D30115">
      <w:pPr>
        <w:spacing w:before="120" w:after="0" w:line="240" w:lineRule="auto"/>
        <w:jc w:val="both"/>
        <w:rPr>
          <w:rFonts w:cstheme="minorHAnsi"/>
          <w:bCs/>
          <w:lang w:val="el-GR"/>
        </w:rPr>
      </w:pPr>
      <w:r w:rsidRPr="00D30115">
        <w:rPr>
          <w:rFonts w:cstheme="minorHAnsi"/>
          <w:bCs/>
          <w:lang w:val="el-GR"/>
        </w:rPr>
        <w:t>Το Παρατηρητήριο Δεικτών Ψηφιακής Μετάβασης αποτελεί μέρος του νέου οικοσυστήματος διακυβέρνησης και ανταλλαγής δεδομένων του ΕΚΤ. Διασυνδέεται με επιμέρους κόμβους στατιστικής πληροφόρησης και με υποδομές συγκέντρωσης και διάθεσης στατιστικών και άλλων δεδομένων, υποστηρίζοντας την ανοικτή διάθεση και την ασφαλή πρόσβαση σε αυτά.</w:t>
      </w:r>
    </w:p>
    <w:p w14:paraId="635B9777" w14:textId="6ECACC4E" w:rsidR="002B0B3E" w:rsidRDefault="002B0B3E" w:rsidP="00D30115">
      <w:pPr>
        <w:spacing w:before="120" w:after="0" w:line="240" w:lineRule="auto"/>
        <w:jc w:val="both"/>
        <w:rPr>
          <w:rFonts w:cstheme="minorHAnsi"/>
          <w:bCs/>
          <w:lang w:val="el-GR"/>
        </w:rPr>
      </w:pPr>
      <w:r w:rsidRPr="002B0B3E">
        <w:rPr>
          <w:rFonts w:cstheme="minorHAnsi"/>
          <w:bCs/>
          <w:lang w:val="el-GR"/>
        </w:rPr>
        <w:t xml:space="preserve">Το οικοσύστημα δεδομένων του ΕΚΤ ακολουθεί τις αρχές FAIR </w:t>
      </w:r>
      <w:r w:rsidRPr="002B0B3E">
        <w:rPr>
          <w:rFonts w:cstheme="minorHAnsi"/>
          <w:bCs/>
          <w:lang w:val="el-GR"/>
        </w:rPr>
        <w:t>(</w:t>
      </w:r>
      <w:r w:rsidRPr="002B0B3E">
        <w:rPr>
          <w:rFonts w:cstheme="minorHAnsi"/>
          <w:bCs/>
        </w:rPr>
        <w:t>Findable</w:t>
      </w:r>
      <w:r w:rsidRPr="002B0B3E">
        <w:rPr>
          <w:rFonts w:cstheme="minorHAnsi"/>
          <w:bCs/>
          <w:lang w:val="el-GR"/>
        </w:rPr>
        <w:t xml:space="preserve">, </w:t>
      </w:r>
      <w:r w:rsidRPr="002B0B3E">
        <w:rPr>
          <w:rFonts w:cstheme="minorHAnsi"/>
          <w:bCs/>
        </w:rPr>
        <w:t>Accessible</w:t>
      </w:r>
      <w:r w:rsidRPr="002B0B3E">
        <w:rPr>
          <w:rFonts w:cstheme="minorHAnsi"/>
          <w:bCs/>
          <w:lang w:val="el-GR"/>
        </w:rPr>
        <w:t xml:space="preserve">, </w:t>
      </w:r>
      <w:r w:rsidRPr="002B0B3E">
        <w:rPr>
          <w:rFonts w:cstheme="minorHAnsi"/>
          <w:bCs/>
        </w:rPr>
        <w:t>Interoperable</w:t>
      </w:r>
      <w:r w:rsidRPr="002B0B3E">
        <w:rPr>
          <w:rFonts w:cstheme="minorHAnsi"/>
          <w:bCs/>
          <w:lang w:val="el-GR"/>
        </w:rPr>
        <w:t xml:space="preserve">, </w:t>
      </w:r>
      <w:r w:rsidRPr="002B0B3E">
        <w:rPr>
          <w:rFonts w:cstheme="minorHAnsi"/>
          <w:bCs/>
        </w:rPr>
        <w:t>and</w:t>
      </w:r>
      <w:r w:rsidRPr="002B0B3E">
        <w:rPr>
          <w:rFonts w:cstheme="minorHAnsi"/>
          <w:bCs/>
          <w:lang w:val="el-GR"/>
        </w:rPr>
        <w:t xml:space="preserve"> </w:t>
      </w:r>
      <w:r w:rsidRPr="002B0B3E">
        <w:rPr>
          <w:rFonts w:cstheme="minorHAnsi"/>
          <w:bCs/>
        </w:rPr>
        <w:t>Reusable</w:t>
      </w:r>
      <w:r w:rsidRPr="002B0B3E">
        <w:rPr>
          <w:rFonts w:cstheme="minorHAnsi"/>
          <w:bCs/>
          <w:lang w:val="el-GR"/>
        </w:rPr>
        <w:t>)</w:t>
      </w:r>
      <w:r w:rsidRPr="00D30115">
        <w:rPr>
          <w:rFonts w:cstheme="minorHAnsi"/>
          <w:bCs/>
          <w:lang w:val="el-GR"/>
        </w:rPr>
        <w:t>,</w:t>
      </w:r>
      <w:r w:rsidRPr="002B0B3E">
        <w:rPr>
          <w:rFonts w:cstheme="minorHAnsi"/>
          <w:bCs/>
          <w:lang w:val="el-GR"/>
        </w:rPr>
        <w:t xml:space="preserve"> ώστε τα δεδομένα να είναι ανιχνεύσιμα, προσβάσιμα, διαλειτουρ</w:t>
      </w:r>
      <w:r>
        <w:rPr>
          <w:rFonts w:cstheme="minorHAnsi"/>
          <w:bCs/>
          <w:lang w:val="el-GR"/>
        </w:rPr>
        <w:t>γικά και επαναχρησιμοποιήσιμα. Αναπτύχθηκε</w:t>
      </w:r>
      <w:r w:rsidRPr="002B0B3E">
        <w:rPr>
          <w:rFonts w:cstheme="minorHAnsi"/>
          <w:bCs/>
          <w:lang w:val="el-GR"/>
        </w:rPr>
        <w:t xml:space="preserve"> στο πλαίσιο του έργου «Ανάπτυξη του θεσμού, της υποδομής, των δυνατοτήτων και ικανοτήτων για τη διακυβέρνηση δεδομένων του δημοσίου, τη διάθεσή τους για επανάχρηση και την παροχή σχετικών υπηρεσιών σε δημόσιο και ιδιωτικό τομέα, στην Ελλάδα – Α΄ Φάση». Το έργο υλοποιείται στο πλαίσιο του Εθνικού Σχεδίου Ανάκαμψης και Ανθεκτικότητας «Ελλάδα 2.0», με τη χρηματοδότηση της Ευρωπαϊκής Ένωσης – NextGenerationEU.</w:t>
      </w:r>
    </w:p>
    <w:p w14:paraId="0D6DB04C" w14:textId="77777777" w:rsidR="00D30115" w:rsidRPr="00683880" w:rsidRDefault="00D30115" w:rsidP="00D30115">
      <w:pPr>
        <w:spacing w:before="120" w:after="0" w:line="240" w:lineRule="auto"/>
        <w:jc w:val="both"/>
        <w:rPr>
          <w:rFonts w:cstheme="minorHAnsi"/>
          <w:bCs/>
          <w:lang w:val="el-GR"/>
        </w:rPr>
      </w:pPr>
    </w:p>
    <w:p w14:paraId="623F9205" w14:textId="3AEBF58C" w:rsidR="001A030C" w:rsidRPr="00FB1113" w:rsidRDefault="00FB1113" w:rsidP="00652E00">
      <w:pPr>
        <w:spacing w:before="60" w:after="0" w:line="240" w:lineRule="auto"/>
        <w:jc w:val="both"/>
        <w:rPr>
          <w:rFonts w:cstheme="minorHAnsi"/>
          <w:bCs/>
          <w:u w:val="single"/>
          <w:lang w:val="el-GR"/>
        </w:rPr>
      </w:pPr>
      <w:r>
        <w:rPr>
          <w:rFonts w:cstheme="minorHAnsi"/>
          <w:bCs/>
          <w:u w:val="single"/>
          <w:lang w:val="el-GR"/>
        </w:rPr>
        <w:t>Σχετικ</w:t>
      </w:r>
      <w:r w:rsidR="002B0B3E">
        <w:rPr>
          <w:rFonts w:cstheme="minorHAnsi"/>
          <w:bCs/>
          <w:u w:val="single"/>
          <w:lang w:val="el-GR"/>
        </w:rPr>
        <w:t>ός σύνδεσμος</w:t>
      </w:r>
      <w:r w:rsidR="00652E00" w:rsidRPr="00FB1113">
        <w:rPr>
          <w:rFonts w:cstheme="minorHAnsi"/>
          <w:bCs/>
          <w:u w:val="single"/>
          <w:lang w:val="el-GR"/>
        </w:rPr>
        <w:t>:</w:t>
      </w:r>
      <w:r w:rsidR="001A030C" w:rsidRPr="00FB1113">
        <w:rPr>
          <w:rFonts w:cstheme="minorHAnsi"/>
          <w:bCs/>
          <w:u w:val="single"/>
          <w:lang w:val="el-GR"/>
        </w:rPr>
        <w:t xml:space="preserve"> </w:t>
      </w:r>
    </w:p>
    <w:p w14:paraId="3989E8B7" w14:textId="5F030891" w:rsidR="00652E00" w:rsidRDefault="009B1752" w:rsidP="00D65908">
      <w:pPr>
        <w:spacing w:before="60" w:after="0" w:line="240" w:lineRule="auto"/>
        <w:rPr>
          <w:rFonts w:cstheme="minorHAnsi"/>
          <w:bCs/>
          <w:lang w:val="el-GR"/>
        </w:rPr>
      </w:pPr>
      <w:r>
        <w:rPr>
          <w:rFonts w:cstheme="minorHAnsi"/>
          <w:bCs/>
          <w:lang w:val="el-GR"/>
        </w:rPr>
        <w:t>Παρατηρητήριο Δεικτών Ψηφιακής Μετάβασης:</w:t>
      </w:r>
      <w:r w:rsidR="001A030C">
        <w:rPr>
          <w:rFonts w:cstheme="minorHAnsi"/>
          <w:bCs/>
          <w:lang w:val="el-GR"/>
        </w:rPr>
        <w:t xml:space="preserve"> </w:t>
      </w:r>
      <w:hyperlink r:id="rId12" w:history="1">
        <w:r w:rsidRPr="0028535A">
          <w:rPr>
            <w:rStyle w:val="Hyperlink"/>
            <w:rFonts w:cstheme="minorHAnsi"/>
            <w:bCs/>
            <w:lang w:val="el-GR"/>
          </w:rPr>
          <w:t>https://digitaltransition.ekt.gr</w:t>
        </w:r>
      </w:hyperlink>
      <w:r>
        <w:rPr>
          <w:rFonts w:cstheme="minorHAnsi"/>
          <w:bCs/>
          <w:lang w:val="el-GR"/>
        </w:rPr>
        <w:t xml:space="preserve"> </w:t>
      </w:r>
    </w:p>
    <w:p w14:paraId="742C70CC" w14:textId="77777777" w:rsidR="00AD19D5" w:rsidRPr="00AD19D5" w:rsidRDefault="00AD19D5" w:rsidP="00AD19D5">
      <w:pPr>
        <w:spacing w:before="60" w:after="0" w:line="240" w:lineRule="auto"/>
        <w:jc w:val="both"/>
        <w:rPr>
          <w:rFonts w:cstheme="minorHAnsi"/>
          <w:bCs/>
          <w:lang w:val="el-GR"/>
        </w:rPr>
      </w:pPr>
    </w:p>
    <w:p w14:paraId="3989E8BE" w14:textId="77777777" w:rsidR="004337CB" w:rsidRPr="005521A3" w:rsidRDefault="004337CB" w:rsidP="00652E00">
      <w:pPr>
        <w:spacing w:before="60" w:after="0" w:line="240" w:lineRule="auto"/>
        <w:rPr>
          <w:rFonts w:eastAsia="Batang" w:cstheme="majorHAnsi"/>
          <w:color w:val="0563C1" w:themeColor="hyperlink"/>
          <w:u w:val="single"/>
          <w:lang w:val="el-GR" w:eastAsia="el-GR"/>
        </w:rPr>
      </w:pPr>
      <w:r>
        <w:rPr>
          <w:rFonts w:cstheme="majorHAnsi"/>
          <w:b/>
          <w:color w:val="262626" w:themeColor="text1" w:themeTint="D9"/>
          <w:sz w:val="24"/>
          <w:lang w:val="el-GR"/>
        </w:rPr>
        <w:t>Επικοινωνία για δημοσιογράφους</w:t>
      </w:r>
      <w:r>
        <w:rPr>
          <w:rFonts w:cstheme="majorHAnsi"/>
          <w:b/>
          <w:color w:val="262626" w:themeColor="text1" w:themeTint="D9"/>
          <w:sz w:val="24"/>
          <w:lang w:val="el-GR"/>
        </w:rPr>
        <w:br/>
      </w:r>
      <w:r w:rsidRPr="00C562FD">
        <w:rPr>
          <w:rFonts w:cstheme="majorHAnsi"/>
          <w:color w:val="262626" w:themeColor="text1" w:themeTint="D9"/>
          <w:lang w:val="el-GR"/>
        </w:rPr>
        <w:t>Εθνικό Κέντρο Τεκμηρίωσης και Ηλεκτρονικού Περιεχομένου (ΕΚΤ)</w:t>
      </w:r>
      <w:r w:rsidRPr="00C562FD">
        <w:rPr>
          <w:rFonts w:cstheme="majorHAnsi"/>
          <w:color w:val="262626" w:themeColor="text1" w:themeTint="D9"/>
          <w:lang w:val="el-GR"/>
        </w:rPr>
        <w:br/>
        <w:t xml:space="preserve">Τμήμα Επικοινωνίας και Δημοσίων Σχέσεων | Τ: 210 220 4941, </w:t>
      </w:r>
      <w:r w:rsidRPr="00C562FD">
        <w:rPr>
          <w:rFonts w:cstheme="majorHAnsi"/>
          <w:color w:val="262626" w:themeColor="text1" w:themeTint="D9"/>
        </w:rPr>
        <w:t>E</w:t>
      </w:r>
      <w:r w:rsidRPr="00C562FD">
        <w:rPr>
          <w:rFonts w:cstheme="majorHAnsi"/>
          <w:color w:val="262626" w:themeColor="text1" w:themeTint="D9"/>
          <w:lang w:val="el-GR"/>
        </w:rPr>
        <w:t>:</w:t>
      </w:r>
      <w:r w:rsidRPr="00C562FD">
        <w:rPr>
          <w:rFonts w:eastAsia="Batang"/>
          <w:lang w:val="el-GR" w:eastAsia="el-GR"/>
        </w:rPr>
        <w:t xml:space="preserve"> </w:t>
      </w:r>
      <w:hyperlink r:id="rId13" w:history="1">
        <w:r w:rsidRPr="00C562FD">
          <w:rPr>
            <w:rStyle w:val="Hyperlink"/>
            <w:rFonts w:eastAsia="Batang"/>
            <w:lang w:eastAsia="el-GR"/>
          </w:rPr>
          <w:t>communication</w:t>
        </w:r>
        <w:r w:rsidRPr="00C562FD">
          <w:rPr>
            <w:rStyle w:val="Hyperlink"/>
            <w:rFonts w:eastAsia="Batang"/>
            <w:lang w:val="el-GR" w:eastAsia="el-GR"/>
          </w:rPr>
          <w:t>@</w:t>
        </w:r>
        <w:r w:rsidRPr="00C562FD">
          <w:rPr>
            <w:rStyle w:val="Hyperlink"/>
            <w:rFonts w:eastAsia="Batang"/>
            <w:lang w:eastAsia="el-GR"/>
          </w:rPr>
          <w:t>ekt</w:t>
        </w:r>
        <w:r w:rsidRPr="00C562FD">
          <w:rPr>
            <w:rStyle w:val="Hyperlink"/>
            <w:rFonts w:eastAsia="Batang"/>
            <w:lang w:val="el-GR" w:eastAsia="el-GR"/>
          </w:rPr>
          <w:t>.</w:t>
        </w:r>
        <w:r w:rsidRPr="00C562FD">
          <w:rPr>
            <w:rStyle w:val="Hyperlink"/>
            <w:rFonts w:eastAsia="Batang"/>
            <w:lang w:eastAsia="el-GR"/>
          </w:rPr>
          <w:t>gr</w:t>
        </w:r>
      </w:hyperlink>
      <w:r w:rsidRPr="00C562FD">
        <w:rPr>
          <w:rFonts w:eastAsia="Batang"/>
          <w:lang w:val="el-GR" w:eastAsia="el-GR"/>
        </w:rPr>
        <w:t xml:space="preserve"> </w:t>
      </w:r>
    </w:p>
    <w:sectPr w:rsidR="004337CB" w:rsidRPr="005521A3" w:rsidSect="00150A15">
      <w:headerReference w:type="default" r:id="rId14"/>
      <w:footerReference w:type="default" r:id="rId15"/>
      <w:headerReference w:type="first" r:id="rId16"/>
      <w:footerReference w:type="first" r:id="rId17"/>
      <w:pgSz w:w="12240" w:h="15840"/>
      <w:pgMar w:top="1276" w:right="1440" w:bottom="1276" w:left="1440" w:header="720" w:footer="266"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5C0F7" w14:textId="77777777" w:rsidR="002D16AE" w:rsidRDefault="002D16AE" w:rsidP="002E1873">
      <w:pPr>
        <w:spacing w:after="0" w:line="240" w:lineRule="auto"/>
      </w:pPr>
      <w:r>
        <w:separator/>
      </w:r>
    </w:p>
  </w:endnote>
  <w:endnote w:type="continuationSeparator" w:id="0">
    <w:p w14:paraId="12CDE316" w14:textId="77777777" w:rsidR="002D16AE" w:rsidRDefault="002D16AE" w:rsidP="002E1873">
      <w:pPr>
        <w:spacing w:after="0" w:line="240" w:lineRule="auto"/>
      </w:pPr>
      <w:r>
        <w:continuationSeparator/>
      </w:r>
    </w:p>
  </w:endnote>
  <w:endnote w:type="continuationNotice" w:id="1">
    <w:p w14:paraId="71AA83E4" w14:textId="77777777" w:rsidR="002D16AE" w:rsidRDefault="002D16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Myriad Pro Cond">
    <w:altName w:val="Arial"/>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9E8C7" w14:textId="77777777" w:rsidR="002D16AE" w:rsidRPr="0065360B" w:rsidRDefault="002D16AE"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r>
      <w:rPr>
        <w:rFonts w:asciiTheme="majorHAnsi" w:hAnsiTheme="majorHAnsi" w:cs="Tahoma"/>
        <w:color w:val="000000" w:themeColor="text1"/>
        <w:spacing w:val="20"/>
        <w:sz w:val="18"/>
        <w:szCs w:val="21"/>
        <w:lang w:val="el-GR"/>
      </w:rPr>
      <w:t>ΕΘΝΙΚΟ ΚΕΝΤΡΟ ΤΕΚΜΗΡΙΩΣΗΣ ΚΑΙ ΗΛΕΚΤΡΟΝΙΚΟΥ ΠΕΡΙΕΧΟΜΕΝΟΥ</w:t>
    </w:r>
    <w:r>
      <w:rPr>
        <w:rFonts w:asciiTheme="majorHAnsi" w:hAnsiTheme="majorHAnsi" w:cs="Tahoma"/>
        <w:color w:val="000000" w:themeColor="text1"/>
        <w:szCs w:val="16"/>
        <w:lang w:val="el-GR"/>
      </w:rPr>
      <w:t xml:space="preserve"> </w:t>
    </w:r>
    <w:r>
      <w:rPr>
        <w:rFonts w:asciiTheme="majorHAnsi" w:hAnsiTheme="majorHAnsi" w:cs="Tahoma"/>
        <w:szCs w:val="16"/>
        <w:lang w:val="el-GR"/>
      </w:rPr>
      <w:br/>
    </w:r>
    <w:r>
      <w:rPr>
        <w:rFonts w:asciiTheme="majorHAnsi" w:hAnsiTheme="majorHAnsi" w:cs="Tahoma"/>
        <w:color w:val="3B3838" w:themeColor="background2" w:themeShade="40"/>
        <w:sz w:val="20"/>
        <w:szCs w:val="16"/>
        <w:lang w:val="el-GR"/>
      </w:rPr>
      <w:t xml:space="preserve"> </w:t>
    </w:r>
    <w:r>
      <w:rPr>
        <w:rFonts w:asciiTheme="majorHAnsi" w:hAnsiTheme="majorHAnsi" w:cs="Tahoma"/>
        <w:color w:val="3B3838" w:themeColor="background2" w:themeShade="40"/>
        <w:sz w:val="18"/>
        <w:szCs w:val="16"/>
        <w:lang w:val="el-GR"/>
      </w:rPr>
      <w:t>Ζεφύρου 56</w:t>
    </w:r>
    <w:r>
      <w:rPr>
        <w:rFonts w:asciiTheme="majorHAnsi" w:hAnsiTheme="majorHAnsi" w:cs="Tahoma"/>
        <w:color w:val="3B3838" w:themeColor="background2" w:themeShade="40"/>
        <w:sz w:val="18"/>
        <w:szCs w:val="16"/>
        <w:lang w:val="fr-FR"/>
      </w:rPr>
      <w:t>, 1</w:t>
    </w:r>
    <w:r>
      <w:rPr>
        <w:rFonts w:asciiTheme="majorHAnsi" w:hAnsiTheme="majorHAnsi" w:cs="Tahoma"/>
        <w:color w:val="3B3838" w:themeColor="background2" w:themeShade="40"/>
        <w:sz w:val="18"/>
        <w:szCs w:val="16"/>
        <w:lang w:val="el-GR"/>
      </w:rPr>
      <w:t>7564</w:t>
    </w:r>
    <w:r>
      <w:rPr>
        <w:rFonts w:asciiTheme="majorHAnsi" w:hAnsiTheme="majorHAnsi" w:cs="Tahoma"/>
        <w:color w:val="3B3838" w:themeColor="background2" w:themeShade="40"/>
        <w:sz w:val="18"/>
        <w:szCs w:val="16"/>
        <w:lang w:val="fr-FR"/>
      </w:rPr>
      <w:t xml:space="preserve"> </w:t>
    </w:r>
    <w:r>
      <w:rPr>
        <w:rFonts w:asciiTheme="majorHAnsi" w:hAnsiTheme="majorHAnsi" w:cs="Tahoma"/>
        <w:color w:val="3B3838" w:themeColor="background2" w:themeShade="40"/>
        <w:sz w:val="18"/>
        <w:szCs w:val="16"/>
        <w:lang w:val="el-GR"/>
      </w:rPr>
      <w:t>Παλαιό Φάληρο</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lang w:val="el-GR"/>
      </w:rPr>
      <w:t>Τ</w:t>
    </w:r>
    <w:r>
      <w:rPr>
        <w:rFonts w:asciiTheme="majorHAnsi" w:hAnsiTheme="majorHAnsi" w:cs="Tahoma"/>
        <w:b/>
        <w:color w:val="BF2F38"/>
        <w:sz w:val="18"/>
        <w:szCs w:val="16"/>
        <w:lang w:val="fr-FR"/>
      </w:rPr>
      <w:t>:</w:t>
    </w:r>
    <w:r>
      <w:rPr>
        <w:rFonts w:asciiTheme="majorHAnsi" w:hAnsiTheme="majorHAnsi" w:cs="Tahoma"/>
        <w:color w:val="3B3838" w:themeColor="background2" w:themeShade="40"/>
        <w:sz w:val="18"/>
        <w:szCs w:val="16"/>
        <w:lang w:val="fr-FR"/>
      </w:rPr>
      <w:t xml:space="preserve"> 210 2204900</w:t>
    </w:r>
    <w:r>
      <w:rPr>
        <w:rFonts w:asciiTheme="majorHAnsi" w:hAnsiTheme="majorHAnsi" w:cs="Tahoma"/>
        <w:color w:val="3B3838" w:themeColor="background2" w:themeShade="40"/>
        <w:sz w:val="20"/>
        <w:szCs w:val="16"/>
        <w:lang w:val="el-GR"/>
      </w:rPr>
      <w:t xml:space="preserve"> | | </w:t>
    </w:r>
    <w:r>
      <w:rPr>
        <w:rFonts w:asciiTheme="majorHAnsi" w:hAnsiTheme="majorHAnsi" w:cs="Tahoma"/>
        <w:b/>
        <w:color w:val="BF2F38"/>
        <w:sz w:val="18"/>
        <w:szCs w:val="16"/>
        <w:lang w:val="fr-FR"/>
      </w:rPr>
      <w:t xml:space="preserve">E: </w:t>
    </w:r>
    <w:r>
      <w:rPr>
        <w:rFonts w:asciiTheme="majorHAnsi" w:hAnsiTheme="majorHAnsi" w:cs="Tahoma"/>
        <w:color w:val="3B3838" w:themeColor="background2" w:themeShade="40"/>
        <w:sz w:val="18"/>
        <w:szCs w:val="16"/>
        <w:lang w:val="fr-FR"/>
      </w:rPr>
      <w:t>info@ekt.gr</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rPr>
      <w:t>W</w:t>
    </w:r>
    <w:r>
      <w:rPr>
        <w:rFonts w:asciiTheme="majorHAnsi" w:hAnsiTheme="majorHAnsi" w:cs="Tahoma"/>
        <w:b/>
        <w:color w:val="BF2F38"/>
        <w:sz w:val="18"/>
        <w:szCs w:val="16"/>
        <w:lang w:val="el-GR"/>
      </w:rPr>
      <w:t>:</w:t>
    </w:r>
    <w:r>
      <w:rPr>
        <w:rFonts w:asciiTheme="majorHAnsi" w:hAnsiTheme="majorHAnsi" w:cs="Tahoma"/>
        <w:color w:val="3B3838" w:themeColor="background2" w:themeShade="40"/>
        <w:sz w:val="18"/>
        <w:szCs w:val="16"/>
        <w:lang w:val="fr-FR"/>
      </w:rPr>
      <w:t xml:space="preserve"> </w:t>
    </w:r>
    <w:r>
      <w:rPr>
        <w:rFonts w:asciiTheme="majorHAnsi" w:hAnsiTheme="majorHAnsi" w:cs="Tahoma"/>
        <w:sz w:val="18"/>
        <w:szCs w:val="16"/>
        <w:lang w:val="fr-FR"/>
      </w:rPr>
      <w:t>www.ekt.gr</w:t>
    </w:r>
  </w:p>
  <w:p w14:paraId="3989E8C8" w14:textId="77777777" w:rsidR="002D16AE" w:rsidRPr="00D41F9B" w:rsidRDefault="002D16AE">
    <w:pPr>
      <w:pStyle w:val="11"/>
      <w:rPr>
        <w:rFonts w:asciiTheme="majorHAnsi" w:hAnsiTheme="majorHAnsi" w:cs="Tahoma"/>
        <w:color w:val="3B3838" w:themeColor="background2" w:themeShade="40"/>
        <w:sz w:val="20"/>
        <w:szCs w:val="16"/>
        <w:lang w:val="el-G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9E8CB" w14:textId="77777777" w:rsidR="002D16AE" w:rsidRPr="0065360B" w:rsidRDefault="002D16AE"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r>
      <w:rPr>
        <w:rFonts w:asciiTheme="majorHAnsi" w:hAnsiTheme="majorHAnsi" w:cs="Tahoma"/>
        <w:color w:val="000000" w:themeColor="text1"/>
        <w:spacing w:val="20"/>
        <w:sz w:val="18"/>
        <w:szCs w:val="21"/>
        <w:lang w:val="el-GR"/>
      </w:rPr>
      <w:t>ΕΘΝΙΚΟ ΚΕΝΤΡΟ ΤΕΚΜΗΡΙΩΣΗΣ ΚΑΙ ΗΛΕΚΤΡΟΝΙΚΟΥ ΠΕΡΙΕΧΟΜΕΝΟΥ</w:t>
    </w:r>
    <w:r>
      <w:rPr>
        <w:rFonts w:asciiTheme="majorHAnsi" w:hAnsiTheme="majorHAnsi" w:cs="Tahoma"/>
        <w:color w:val="000000" w:themeColor="text1"/>
        <w:szCs w:val="16"/>
        <w:lang w:val="el-GR"/>
      </w:rPr>
      <w:t xml:space="preserve"> </w:t>
    </w:r>
    <w:r>
      <w:rPr>
        <w:rFonts w:asciiTheme="majorHAnsi" w:hAnsiTheme="majorHAnsi" w:cs="Tahoma"/>
        <w:szCs w:val="16"/>
        <w:lang w:val="el-GR"/>
      </w:rPr>
      <w:br/>
    </w:r>
    <w:r>
      <w:rPr>
        <w:rFonts w:asciiTheme="majorHAnsi" w:hAnsiTheme="majorHAnsi" w:cs="Tahoma"/>
        <w:color w:val="3B3838" w:themeColor="background2" w:themeShade="40"/>
        <w:sz w:val="20"/>
        <w:szCs w:val="16"/>
        <w:lang w:val="el-GR"/>
      </w:rPr>
      <w:t xml:space="preserve"> </w:t>
    </w:r>
    <w:r>
      <w:rPr>
        <w:rFonts w:asciiTheme="majorHAnsi" w:hAnsiTheme="majorHAnsi" w:cs="Tahoma"/>
        <w:color w:val="3B3838" w:themeColor="background2" w:themeShade="40"/>
        <w:sz w:val="18"/>
        <w:szCs w:val="16"/>
        <w:lang w:val="el-GR"/>
      </w:rPr>
      <w:t>Ζεφύρου 56</w:t>
    </w:r>
    <w:r>
      <w:rPr>
        <w:rFonts w:asciiTheme="majorHAnsi" w:hAnsiTheme="majorHAnsi" w:cs="Tahoma"/>
        <w:color w:val="3B3838" w:themeColor="background2" w:themeShade="40"/>
        <w:sz w:val="18"/>
        <w:szCs w:val="16"/>
        <w:lang w:val="fr-FR"/>
      </w:rPr>
      <w:t>, 1</w:t>
    </w:r>
    <w:r>
      <w:rPr>
        <w:rFonts w:asciiTheme="majorHAnsi" w:hAnsiTheme="majorHAnsi" w:cs="Tahoma"/>
        <w:color w:val="3B3838" w:themeColor="background2" w:themeShade="40"/>
        <w:sz w:val="18"/>
        <w:szCs w:val="16"/>
        <w:lang w:val="el-GR"/>
      </w:rPr>
      <w:t>7564</w:t>
    </w:r>
    <w:r>
      <w:rPr>
        <w:rFonts w:asciiTheme="majorHAnsi" w:hAnsiTheme="majorHAnsi" w:cs="Tahoma"/>
        <w:color w:val="3B3838" w:themeColor="background2" w:themeShade="40"/>
        <w:sz w:val="18"/>
        <w:szCs w:val="16"/>
        <w:lang w:val="fr-FR"/>
      </w:rPr>
      <w:t xml:space="preserve"> </w:t>
    </w:r>
    <w:r>
      <w:rPr>
        <w:rFonts w:asciiTheme="majorHAnsi" w:hAnsiTheme="majorHAnsi" w:cs="Tahoma"/>
        <w:color w:val="3B3838" w:themeColor="background2" w:themeShade="40"/>
        <w:sz w:val="18"/>
        <w:szCs w:val="16"/>
        <w:lang w:val="el-GR"/>
      </w:rPr>
      <w:t>Παλαιό Φάληρο</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lang w:val="el-GR"/>
      </w:rPr>
      <w:t>Τ</w:t>
    </w:r>
    <w:r>
      <w:rPr>
        <w:rFonts w:asciiTheme="majorHAnsi" w:hAnsiTheme="majorHAnsi" w:cs="Tahoma"/>
        <w:b/>
        <w:color w:val="BF2F38"/>
        <w:sz w:val="18"/>
        <w:szCs w:val="16"/>
        <w:lang w:val="fr-FR"/>
      </w:rPr>
      <w:t>:</w:t>
    </w:r>
    <w:r>
      <w:rPr>
        <w:rFonts w:asciiTheme="majorHAnsi" w:hAnsiTheme="majorHAnsi" w:cs="Tahoma"/>
        <w:color w:val="3B3838" w:themeColor="background2" w:themeShade="40"/>
        <w:sz w:val="18"/>
        <w:szCs w:val="16"/>
        <w:lang w:val="fr-FR"/>
      </w:rPr>
      <w:t xml:space="preserve"> 210 2204900</w:t>
    </w:r>
    <w:r>
      <w:rPr>
        <w:rFonts w:asciiTheme="majorHAnsi" w:hAnsiTheme="majorHAnsi" w:cs="Tahoma"/>
        <w:color w:val="3B3838" w:themeColor="background2" w:themeShade="40"/>
        <w:sz w:val="20"/>
        <w:szCs w:val="16"/>
        <w:lang w:val="el-GR"/>
      </w:rPr>
      <w:t xml:space="preserve"> | | </w:t>
    </w:r>
    <w:r>
      <w:rPr>
        <w:rFonts w:asciiTheme="majorHAnsi" w:hAnsiTheme="majorHAnsi" w:cs="Tahoma"/>
        <w:b/>
        <w:color w:val="BF2F38"/>
        <w:sz w:val="18"/>
        <w:szCs w:val="16"/>
        <w:lang w:val="fr-FR"/>
      </w:rPr>
      <w:t xml:space="preserve">E: </w:t>
    </w:r>
    <w:r>
      <w:rPr>
        <w:rFonts w:asciiTheme="majorHAnsi" w:hAnsiTheme="majorHAnsi" w:cs="Tahoma"/>
        <w:color w:val="3B3838" w:themeColor="background2" w:themeShade="40"/>
        <w:sz w:val="18"/>
        <w:szCs w:val="16"/>
        <w:lang w:val="fr-FR"/>
      </w:rPr>
      <w:t>info@ekt.gr</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rPr>
      <w:t>W</w:t>
    </w:r>
    <w:r>
      <w:rPr>
        <w:rFonts w:asciiTheme="majorHAnsi" w:hAnsiTheme="majorHAnsi" w:cs="Tahoma"/>
        <w:b/>
        <w:color w:val="BF2F38"/>
        <w:sz w:val="18"/>
        <w:szCs w:val="16"/>
        <w:lang w:val="el-GR"/>
      </w:rPr>
      <w:t>:</w:t>
    </w:r>
    <w:r>
      <w:rPr>
        <w:rFonts w:asciiTheme="majorHAnsi" w:hAnsiTheme="majorHAnsi" w:cs="Tahoma"/>
        <w:color w:val="3B3838" w:themeColor="background2" w:themeShade="40"/>
        <w:sz w:val="18"/>
        <w:szCs w:val="16"/>
        <w:lang w:val="fr-FR"/>
      </w:rPr>
      <w:t xml:space="preserve"> </w:t>
    </w:r>
    <w:r>
      <w:rPr>
        <w:rFonts w:asciiTheme="majorHAnsi" w:hAnsiTheme="majorHAnsi" w:cs="Tahoma"/>
        <w:sz w:val="18"/>
        <w:szCs w:val="16"/>
        <w:lang w:val="fr-FR"/>
      </w:rPr>
      <w:t>www.ekt.gr</w:t>
    </w:r>
  </w:p>
  <w:p w14:paraId="3989E8CC" w14:textId="77777777" w:rsidR="002D16AE" w:rsidRPr="005311F2" w:rsidRDefault="002D16AE"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5CACD" w14:textId="77777777" w:rsidR="002D16AE" w:rsidRDefault="002D16AE" w:rsidP="002E1873">
      <w:pPr>
        <w:spacing w:after="0" w:line="240" w:lineRule="auto"/>
      </w:pPr>
      <w:r>
        <w:separator/>
      </w:r>
    </w:p>
  </w:footnote>
  <w:footnote w:type="continuationSeparator" w:id="0">
    <w:p w14:paraId="0D5D166F" w14:textId="77777777" w:rsidR="002D16AE" w:rsidRDefault="002D16AE" w:rsidP="002E1873">
      <w:pPr>
        <w:spacing w:after="0" w:line="240" w:lineRule="auto"/>
      </w:pPr>
      <w:r>
        <w:continuationSeparator/>
      </w:r>
    </w:p>
  </w:footnote>
  <w:footnote w:type="continuationNotice" w:id="1">
    <w:p w14:paraId="6EAF0932" w14:textId="77777777" w:rsidR="002D16AE" w:rsidRDefault="002D16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9E8C5" w14:textId="27A5A842" w:rsidR="002D16AE" w:rsidRDefault="00D30115" w:rsidP="0083108B">
    <w:pPr>
      <w:spacing w:before="120" w:after="0" w:line="240" w:lineRule="auto"/>
      <w:rPr>
        <w:sz w:val="20"/>
        <w:szCs w:val="20"/>
        <w:lang w:val="el-GR"/>
      </w:rPr>
    </w:pPr>
    <w:r w:rsidRPr="00D30115">
      <w:rPr>
        <w:rFonts w:cstheme="majorHAnsi"/>
        <w:bCs/>
        <w:color w:val="262626" w:themeColor="text1" w:themeTint="D9"/>
        <w:sz w:val="20"/>
        <w:szCs w:val="20"/>
        <w:lang w:val="el-GR"/>
      </w:rPr>
      <w:t xml:space="preserve">Παρατηρητήριο Δεικτών Ψηφιακής Μετάβασης από το ΕΚΤ </w:t>
    </w:r>
    <w:r w:rsidR="002D16AE" w:rsidRPr="00D52861">
      <w:rPr>
        <w:sz w:val="20"/>
        <w:szCs w:val="20"/>
        <w:lang w:val="el-GR"/>
      </w:rPr>
      <w:t xml:space="preserve">| </w:t>
    </w:r>
    <w:r w:rsidR="002D16AE" w:rsidRPr="00D52861">
      <w:rPr>
        <w:sz w:val="20"/>
        <w:szCs w:val="20"/>
        <w:lang w:val="el-GR" w:eastAsia="el-GR"/>
      </w:rPr>
      <w:t>ΕΚΤ</w:t>
    </w:r>
    <w:r w:rsidR="002D16AE">
      <w:rPr>
        <w:b/>
        <w:sz w:val="20"/>
        <w:szCs w:val="20"/>
        <w:lang w:val="el-GR" w:eastAsia="el-GR"/>
      </w:rPr>
      <w:t xml:space="preserve"> </w:t>
    </w:r>
    <w:r w:rsidR="002D16AE">
      <w:rPr>
        <w:sz w:val="20"/>
        <w:szCs w:val="20"/>
        <w:lang w:val="el-GR"/>
      </w:rPr>
      <w:t>|</w:t>
    </w:r>
    <w:r w:rsidR="002D16AE" w:rsidRPr="00787C92">
      <w:rPr>
        <w:sz w:val="20"/>
        <w:szCs w:val="20"/>
        <w:lang w:val="el-GR"/>
      </w:rPr>
      <w:t xml:space="preserve"> </w:t>
    </w:r>
    <w:r w:rsidR="002D16AE">
      <w:rPr>
        <w:sz w:val="20"/>
        <w:szCs w:val="20"/>
        <w:lang w:val="el-GR"/>
      </w:rPr>
      <w:t>ΔΕΛΤΙΟ ΤΥΠΟΥ</w:t>
    </w:r>
  </w:p>
  <w:p w14:paraId="3989E8C6" w14:textId="77777777" w:rsidR="002D16AE" w:rsidRPr="005521A3" w:rsidRDefault="002D16AE" w:rsidP="005521A3">
    <w:pPr>
      <w:spacing w:before="120" w:after="0" w:line="240" w:lineRule="auto"/>
      <w:rPr>
        <w:rFonts w:eastAsia="Times New Roman" w:cstheme="minorHAnsi"/>
        <w:bCs/>
        <w:sz w:val="20"/>
        <w:szCs w:val="20"/>
        <w:lang w:val="el-G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9E8C9" w14:textId="1111DDEC" w:rsidR="002D16AE" w:rsidRPr="00261937" w:rsidRDefault="002D16AE" w:rsidP="00301D9A">
    <w:pPr>
      <w:pStyle w:val="1"/>
      <w:ind w:left="7200"/>
    </w:pPr>
    <w:r w:rsidRPr="00D41F9B">
      <w:rPr>
        <w:noProof/>
        <w:color w:val="3B3838" w:themeColor="background2" w:themeShade="40"/>
      </w:rPr>
      <w:drawing>
        <wp:anchor distT="0" distB="0" distL="114300" distR="114300" simplePos="0" relativeHeight="251658240" behindDoc="1" locked="0" layoutInCell="1" allowOverlap="1" wp14:anchorId="3989E8CD" wp14:editId="3989E8CE">
          <wp:simplePos x="0" y="0"/>
          <wp:positionH relativeFrom="column">
            <wp:posOffset>0</wp:posOffset>
          </wp:positionH>
          <wp:positionV relativeFrom="paragraph">
            <wp:posOffset>-38735</wp:posOffset>
          </wp:positionV>
          <wp:extent cx="2693035" cy="504825"/>
          <wp:effectExtent l="0" t="0" r="0" b="9525"/>
          <wp:wrapTight wrapText="bothSides">
            <wp:wrapPolygon edited="0">
              <wp:start x="0" y="0"/>
              <wp:lineTo x="0" y="21192"/>
              <wp:lineTo x="21391" y="21192"/>
              <wp:lineTo x="213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EKT+title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3035" cy="504825"/>
                  </a:xfrm>
                  <a:prstGeom prst="rect">
                    <a:avLst/>
                  </a:prstGeom>
                </pic:spPr>
              </pic:pic>
            </a:graphicData>
          </a:graphic>
        </wp:anchor>
      </w:drawing>
    </w:r>
    <w:r w:rsidRPr="00D41F9B">
      <w:rPr>
        <w:color w:val="3B3838" w:themeColor="background2" w:themeShade="40"/>
        <w:sz w:val="36"/>
        <w:lang w:val="el-GR"/>
      </w:rPr>
      <w:t xml:space="preserve">Δελτίο Τύπου </w:t>
    </w:r>
    <w:r w:rsidRPr="00D41F9B">
      <w:rPr>
        <w:color w:val="3B3838" w:themeColor="background2" w:themeShade="40"/>
        <w:sz w:val="36"/>
        <w:lang w:val="el-GR"/>
      </w:rPr>
      <w:br/>
    </w:r>
    <w:r w:rsidRPr="006442B6">
      <w:rPr>
        <w:lang w:val="el-GR"/>
      </w:rPr>
      <w:t>Αθήνα</w:t>
    </w:r>
    <w:r w:rsidRPr="00DC769D">
      <w:rPr>
        <w:lang w:val="el-GR"/>
      </w:rPr>
      <w:t>,</w:t>
    </w:r>
    <w:r w:rsidRPr="00DC769D">
      <w:t xml:space="preserve"> </w:t>
    </w:r>
    <w:r w:rsidR="0004328C">
      <w:t>30</w:t>
    </w:r>
    <w:r w:rsidRPr="00DC769D">
      <w:t>.</w:t>
    </w:r>
    <w:r>
      <w:t>07</w:t>
    </w:r>
    <w:r w:rsidRPr="006442B6">
      <w:rPr>
        <w:lang w:val="el-GR"/>
      </w:rPr>
      <w:t>.20</w:t>
    </w:r>
    <w:r w:rsidRPr="006442B6">
      <w:t>2</w:t>
    </w:r>
    <w:r>
      <w:t>6</w:t>
    </w:r>
  </w:p>
  <w:p w14:paraId="3989E8CA" w14:textId="77777777" w:rsidR="002D16AE" w:rsidRDefault="002D16AE">
    <w:pPr>
      <w:pStyle w:val="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16EC7"/>
    <w:multiLevelType w:val="multilevel"/>
    <w:tmpl w:val="45C4EE3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B7C35DF"/>
    <w:multiLevelType w:val="hybridMultilevel"/>
    <w:tmpl w:val="4A925C04"/>
    <w:lvl w:ilvl="0" w:tplc="32624388">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4D21D5"/>
    <w:multiLevelType w:val="hybridMultilevel"/>
    <w:tmpl w:val="3E9C43A8"/>
    <w:lvl w:ilvl="0" w:tplc="32624388">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D00009"/>
    <w:multiLevelType w:val="hybridMultilevel"/>
    <w:tmpl w:val="B6B6E9BE"/>
    <w:lvl w:ilvl="0" w:tplc="E46A79E4">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F47199"/>
    <w:multiLevelType w:val="hybridMultilevel"/>
    <w:tmpl w:val="B558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BA4992"/>
    <w:multiLevelType w:val="hybridMultilevel"/>
    <w:tmpl w:val="58ECD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C0831CA"/>
    <w:multiLevelType w:val="hybridMultilevel"/>
    <w:tmpl w:val="7BD8B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27C5A13"/>
    <w:multiLevelType w:val="hybridMultilevel"/>
    <w:tmpl w:val="89A89564"/>
    <w:lvl w:ilvl="0" w:tplc="E46A79E4">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3D01CF"/>
    <w:multiLevelType w:val="hybridMultilevel"/>
    <w:tmpl w:val="1C7AB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DA276B"/>
    <w:multiLevelType w:val="hybridMultilevel"/>
    <w:tmpl w:val="CF8603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E953CC0"/>
    <w:multiLevelType w:val="multilevel"/>
    <w:tmpl w:val="B63A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CB7D27"/>
    <w:multiLevelType w:val="hybridMultilevel"/>
    <w:tmpl w:val="2E0E5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9573FA5"/>
    <w:multiLevelType w:val="multilevel"/>
    <w:tmpl w:val="DC508866"/>
    <w:lvl w:ilvl="0">
      <w:numFmt w:val="bullet"/>
      <w:lvlText w:val="•"/>
      <w:lvlJc w:val="left"/>
      <w:pPr>
        <w:ind w:left="360" w:hanging="360"/>
      </w:pPr>
      <w:rPr>
        <w:rFonts w:ascii="Calibri" w:hAnsi="Calibri" w:cs="Calibri Light"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F842EE3"/>
    <w:multiLevelType w:val="hybridMultilevel"/>
    <w:tmpl w:val="08A89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0"/>
  </w:num>
  <w:num w:numId="3">
    <w:abstractNumId w:val="8"/>
  </w:num>
  <w:num w:numId="4">
    <w:abstractNumId w:val="3"/>
  </w:num>
  <w:num w:numId="5">
    <w:abstractNumId w:val="7"/>
  </w:num>
  <w:num w:numId="6">
    <w:abstractNumId w:val="10"/>
  </w:num>
  <w:num w:numId="7">
    <w:abstractNumId w:val="4"/>
  </w:num>
  <w:num w:numId="8">
    <w:abstractNumId w:val="1"/>
  </w:num>
  <w:num w:numId="9">
    <w:abstractNumId w:val="2"/>
  </w:num>
  <w:num w:numId="10">
    <w:abstractNumId w:val="5"/>
  </w:num>
  <w:num w:numId="11">
    <w:abstractNumId w:val="13"/>
  </w:num>
  <w:num w:numId="12">
    <w:abstractNumId w:val="6"/>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
  <w:rsids>
    <w:rsidRoot w:val="002E1873"/>
    <w:rsid w:val="00011730"/>
    <w:rsid w:val="00014478"/>
    <w:rsid w:val="000154CA"/>
    <w:rsid w:val="00032232"/>
    <w:rsid w:val="000344E2"/>
    <w:rsid w:val="00034CF4"/>
    <w:rsid w:val="000374A8"/>
    <w:rsid w:val="00041536"/>
    <w:rsid w:val="0004328C"/>
    <w:rsid w:val="00043427"/>
    <w:rsid w:val="00044A7D"/>
    <w:rsid w:val="00053461"/>
    <w:rsid w:val="0005442B"/>
    <w:rsid w:val="00061794"/>
    <w:rsid w:val="00063D68"/>
    <w:rsid w:val="00064AAE"/>
    <w:rsid w:val="000665F7"/>
    <w:rsid w:val="00067AF1"/>
    <w:rsid w:val="00075F01"/>
    <w:rsid w:val="000878D1"/>
    <w:rsid w:val="00090578"/>
    <w:rsid w:val="00097532"/>
    <w:rsid w:val="00097B1F"/>
    <w:rsid w:val="000A3A7C"/>
    <w:rsid w:val="000A791D"/>
    <w:rsid w:val="000B5EF3"/>
    <w:rsid w:val="000B6322"/>
    <w:rsid w:val="000C0313"/>
    <w:rsid w:val="000C2B72"/>
    <w:rsid w:val="000C46F9"/>
    <w:rsid w:val="000D1EF7"/>
    <w:rsid w:val="000E2EB0"/>
    <w:rsid w:val="000E3C6E"/>
    <w:rsid w:val="000E670B"/>
    <w:rsid w:val="000F1B44"/>
    <w:rsid w:val="000F1B7A"/>
    <w:rsid w:val="0010114E"/>
    <w:rsid w:val="00101C5B"/>
    <w:rsid w:val="00103B05"/>
    <w:rsid w:val="001055E6"/>
    <w:rsid w:val="00111A97"/>
    <w:rsid w:val="001132DE"/>
    <w:rsid w:val="00114E76"/>
    <w:rsid w:val="001209AD"/>
    <w:rsid w:val="00121D68"/>
    <w:rsid w:val="00127A4C"/>
    <w:rsid w:val="00127EFC"/>
    <w:rsid w:val="0013453F"/>
    <w:rsid w:val="00136281"/>
    <w:rsid w:val="0013773A"/>
    <w:rsid w:val="0014272C"/>
    <w:rsid w:val="001458CF"/>
    <w:rsid w:val="00150A15"/>
    <w:rsid w:val="001609C6"/>
    <w:rsid w:val="001643B5"/>
    <w:rsid w:val="001646C1"/>
    <w:rsid w:val="0016730D"/>
    <w:rsid w:val="001701AC"/>
    <w:rsid w:val="0017196D"/>
    <w:rsid w:val="00171E76"/>
    <w:rsid w:val="0017374C"/>
    <w:rsid w:val="0017687E"/>
    <w:rsid w:val="001879A9"/>
    <w:rsid w:val="00191EC9"/>
    <w:rsid w:val="00192BAB"/>
    <w:rsid w:val="001A030C"/>
    <w:rsid w:val="001A0C05"/>
    <w:rsid w:val="001B4208"/>
    <w:rsid w:val="001C0973"/>
    <w:rsid w:val="001C2B9D"/>
    <w:rsid w:val="001D5F59"/>
    <w:rsid w:val="001D60BF"/>
    <w:rsid w:val="001E15D2"/>
    <w:rsid w:val="001E3470"/>
    <w:rsid w:val="001F1896"/>
    <w:rsid w:val="001F3758"/>
    <w:rsid w:val="00201AA8"/>
    <w:rsid w:val="00204235"/>
    <w:rsid w:val="002043D7"/>
    <w:rsid w:val="00207D0C"/>
    <w:rsid w:val="00212827"/>
    <w:rsid w:val="00213507"/>
    <w:rsid w:val="0021492D"/>
    <w:rsid w:val="002208F1"/>
    <w:rsid w:val="00231BA2"/>
    <w:rsid w:val="0023529C"/>
    <w:rsid w:val="00241D75"/>
    <w:rsid w:val="002423F5"/>
    <w:rsid w:val="002424C1"/>
    <w:rsid w:val="00243231"/>
    <w:rsid w:val="00244A99"/>
    <w:rsid w:val="00251B73"/>
    <w:rsid w:val="00253568"/>
    <w:rsid w:val="002544D7"/>
    <w:rsid w:val="002573E7"/>
    <w:rsid w:val="00261937"/>
    <w:rsid w:val="00261B93"/>
    <w:rsid w:val="00263A9B"/>
    <w:rsid w:val="002642E9"/>
    <w:rsid w:val="00265A4A"/>
    <w:rsid w:val="00271C3E"/>
    <w:rsid w:val="002738C0"/>
    <w:rsid w:val="00276E4A"/>
    <w:rsid w:val="00281CCA"/>
    <w:rsid w:val="002877A3"/>
    <w:rsid w:val="002A0E53"/>
    <w:rsid w:val="002A2E0B"/>
    <w:rsid w:val="002B0B3E"/>
    <w:rsid w:val="002B3685"/>
    <w:rsid w:val="002B5D08"/>
    <w:rsid w:val="002C0EAE"/>
    <w:rsid w:val="002C28B5"/>
    <w:rsid w:val="002C33D6"/>
    <w:rsid w:val="002D16AE"/>
    <w:rsid w:val="002E1873"/>
    <w:rsid w:val="002E347D"/>
    <w:rsid w:val="002F66A4"/>
    <w:rsid w:val="003007F0"/>
    <w:rsid w:val="00301D9A"/>
    <w:rsid w:val="003031F6"/>
    <w:rsid w:val="003134E5"/>
    <w:rsid w:val="00313ECD"/>
    <w:rsid w:val="00315158"/>
    <w:rsid w:val="003211D8"/>
    <w:rsid w:val="003251FE"/>
    <w:rsid w:val="00330944"/>
    <w:rsid w:val="00332E2C"/>
    <w:rsid w:val="00334E51"/>
    <w:rsid w:val="00343A78"/>
    <w:rsid w:val="00345DDC"/>
    <w:rsid w:val="003511DC"/>
    <w:rsid w:val="00352A12"/>
    <w:rsid w:val="0036226F"/>
    <w:rsid w:val="003624E6"/>
    <w:rsid w:val="003729B5"/>
    <w:rsid w:val="00375B24"/>
    <w:rsid w:val="00385BB7"/>
    <w:rsid w:val="00387352"/>
    <w:rsid w:val="0039097A"/>
    <w:rsid w:val="00392EC8"/>
    <w:rsid w:val="003A09FF"/>
    <w:rsid w:val="003A1A85"/>
    <w:rsid w:val="003A43CD"/>
    <w:rsid w:val="003B5F22"/>
    <w:rsid w:val="003C25B8"/>
    <w:rsid w:val="003C2774"/>
    <w:rsid w:val="003D16B1"/>
    <w:rsid w:val="003D461D"/>
    <w:rsid w:val="003E17AF"/>
    <w:rsid w:val="003E32B8"/>
    <w:rsid w:val="003F577B"/>
    <w:rsid w:val="003F583F"/>
    <w:rsid w:val="00401A75"/>
    <w:rsid w:val="00402EAE"/>
    <w:rsid w:val="00405615"/>
    <w:rsid w:val="0041566A"/>
    <w:rsid w:val="004179A7"/>
    <w:rsid w:val="00421DA3"/>
    <w:rsid w:val="00427B63"/>
    <w:rsid w:val="004337CB"/>
    <w:rsid w:val="0043429D"/>
    <w:rsid w:val="00442A6B"/>
    <w:rsid w:val="00447DCF"/>
    <w:rsid w:val="004527A1"/>
    <w:rsid w:val="00460900"/>
    <w:rsid w:val="00462DDC"/>
    <w:rsid w:val="004769FA"/>
    <w:rsid w:val="0047720D"/>
    <w:rsid w:val="00477D8D"/>
    <w:rsid w:val="00486BF1"/>
    <w:rsid w:val="0048784E"/>
    <w:rsid w:val="00487B73"/>
    <w:rsid w:val="0049793C"/>
    <w:rsid w:val="004A154F"/>
    <w:rsid w:val="004A2D3B"/>
    <w:rsid w:val="004A4E3B"/>
    <w:rsid w:val="004B2B64"/>
    <w:rsid w:val="004B48D6"/>
    <w:rsid w:val="004B7A0F"/>
    <w:rsid w:val="004B7F3E"/>
    <w:rsid w:val="004C11AD"/>
    <w:rsid w:val="004C1E53"/>
    <w:rsid w:val="004C2084"/>
    <w:rsid w:val="004C25BB"/>
    <w:rsid w:val="004D055D"/>
    <w:rsid w:val="004D12A2"/>
    <w:rsid w:val="004D53CD"/>
    <w:rsid w:val="004D7E4A"/>
    <w:rsid w:val="004E2514"/>
    <w:rsid w:val="004E3EBF"/>
    <w:rsid w:val="004E4540"/>
    <w:rsid w:val="004E4B57"/>
    <w:rsid w:val="004E6FE1"/>
    <w:rsid w:val="005008BE"/>
    <w:rsid w:val="00501407"/>
    <w:rsid w:val="00506C94"/>
    <w:rsid w:val="00510242"/>
    <w:rsid w:val="00511750"/>
    <w:rsid w:val="00517337"/>
    <w:rsid w:val="005210F0"/>
    <w:rsid w:val="00525759"/>
    <w:rsid w:val="00533CFB"/>
    <w:rsid w:val="005521A3"/>
    <w:rsid w:val="005528F5"/>
    <w:rsid w:val="0055587A"/>
    <w:rsid w:val="00561F1D"/>
    <w:rsid w:val="00564C46"/>
    <w:rsid w:val="00577527"/>
    <w:rsid w:val="00577E88"/>
    <w:rsid w:val="00580476"/>
    <w:rsid w:val="005831F5"/>
    <w:rsid w:val="00583851"/>
    <w:rsid w:val="0059171C"/>
    <w:rsid w:val="005A0403"/>
    <w:rsid w:val="005A58DF"/>
    <w:rsid w:val="005B35A3"/>
    <w:rsid w:val="005B4FC7"/>
    <w:rsid w:val="005B5961"/>
    <w:rsid w:val="005B61E5"/>
    <w:rsid w:val="005D291A"/>
    <w:rsid w:val="005D4304"/>
    <w:rsid w:val="005D6E58"/>
    <w:rsid w:val="005D6F09"/>
    <w:rsid w:val="005E031F"/>
    <w:rsid w:val="005E2482"/>
    <w:rsid w:val="005F0D19"/>
    <w:rsid w:val="00603484"/>
    <w:rsid w:val="00610214"/>
    <w:rsid w:val="00610B2F"/>
    <w:rsid w:val="00616508"/>
    <w:rsid w:val="00621442"/>
    <w:rsid w:val="006272D1"/>
    <w:rsid w:val="0063034C"/>
    <w:rsid w:val="0063257F"/>
    <w:rsid w:val="0063572F"/>
    <w:rsid w:val="00637A32"/>
    <w:rsid w:val="00640E1B"/>
    <w:rsid w:val="00640EC7"/>
    <w:rsid w:val="006412D3"/>
    <w:rsid w:val="006442B6"/>
    <w:rsid w:val="0065132C"/>
    <w:rsid w:val="00651E37"/>
    <w:rsid w:val="00652B33"/>
    <w:rsid w:val="00652E00"/>
    <w:rsid w:val="00663E3D"/>
    <w:rsid w:val="00665986"/>
    <w:rsid w:val="00666808"/>
    <w:rsid w:val="006702D7"/>
    <w:rsid w:val="00683880"/>
    <w:rsid w:val="006854F7"/>
    <w:rsid w:val="00693749"/>
    <w:rsid w:val="006A38DC"/>
    <w:rsid w:val="006A75E6"/>
    <w:rsid w:val="006B057B"/>
    <w:rsid w:val="006B191C"/>
    <w:rsid w:val="006B4632"/>
    <w:rsid w:val="006D00A4"/>
    <w:rsid w:val="006D00BC"/>
    <w:rsid w:val="006D0D75"/>
    <w:rsid w:val="006D2C3D"/>
    <w:rsid w:val="006D556E"/>
    <w:rsid w:val="006E2C99"/>
    <w:rsid w:val="006E3FD0"/>
    <w:rsid w:val="006E4C35"/>
    <w:rsid w:val="006F14F2"/>
    <w:rsid w:val="006F2293"/>
    <w:rsid w:val="00704039"/>
    <w:rsid w:val="00705D85"/>
    <w:rsid w:val="007129BB"/>
    <w:rsid w:val="00712D03"/>
    <w:rsid w:val="007145F4"/>
    <w:rsid w:val="00720C3A"/>
    <w:rsid w:val="00726BB4"/>
    <w:rsid w:val="007366E9"/>
    <w:rsid w:val="00740CCF"/>
    <w:rsid w:val="00753584"/>
    <w:rsid w:val="007678C4"/>
    <w:rsid w:val="007727EE"/>
    <w:rsid w:val="007767BC"/>
    <w:rsid w:val="00776FE5"/>
    <w:rsid w:val="00786BB7"/>
    <w:rsid w:val="00790BEA"/>
    <w:rsid w:val="0079642E"/>
    <w:rsid w:val="00797F30"/>
    <w:rsid w:val="007A7B0C"/>
    <w:rsid w:val="007A7C4A"/>
    <w:rsid w:val="007B3096"/>
    <w:rsid w:val="007C536F"/>
    <w:rsid w:val="007D183B"/>
    <w:rsid w:val="007D2870"/>
    <w:rsid w:val="007D5174"/>
    <w:rsid w:val="007D77A4"/>
    <w:rsid w:val="007E0DE4"/>
    <w:rsid w:val="007E2789"/>
    <w:rsid w:val="007E42D1"/>
    <w:rsid w:val="007E4D87"/>
    <w:rsid w:val="007E67CF"/>
    <w:rsid w:val="00801E68"/>
    <w:rsid w:val="00802102"/>
    <w:rsid w:val="00802EA1"/>
    <w:rsid w:val="008044F5"/>
    <w:rsid w:val="00807351"/>
    <w:rsid w:val="0081280F"/>
    <w:rsid w:val="00812A0B"/>
    <w:rsid w:val="00820292"/>
    <w:rsid w:val="00821115"/>
    <w:rsid w:val="00821510"/>
    <w:rsid w:val="00827FDF"/>
    <w:rsid w:val="0083108B"/>
    <w:rsid w:val="00834D8D"/>
    <w:rsid w:val="00835AA2"/>
    <w:rsid w:val="008439D2"/>
    <w:rsid w:val="00844247"/>
    <w:rsid w:val="008468D9"/>
    <w:rsid w:val="0085138D"/>
    <w:rsid w:val="008526BF"/>
    <w:rsid w:val="00856E43"/>
    <w:rsid w:val="0087204D"/>
    <w:rsid w:val="008734E8"/>
    <w:rsid w:val="0087532A"/>
    <w:rsid w:val="00881E9A"/>
    <w:rsid w:val="00885C95"/>
    <w:rsid w:val="00890B92"/>
    <w:rsid w:val="008918B2"/>
    <w:rsid w:val="00892854"/>
    <w:rsid w:val="008976CA"/>
    <w:rsid w:val="00897E62"/>
    <w:rsid w:val="008A0F6A"/>
    <w:rsid w:val="008B6150"/>
    <w:rsid w:val="008B6EC6"/>
    <w:rsid w:val="008C4FCF"/>
    <w:rsid w:val="008C6824"/>
    <w:rsid w:val="008C74E9"/>
    <w:rsid w:val="008C7679"/>
    <w:rsid w:val="008D2755"/>
    <w:rsid w:val="008D392C"/>
    <w:rsid w:val="008E7B76"/>
    <w:rsid w:val="008F102D"/>
    <w:rsid w:val="008F44A2"/>
    <w:rsid w:val="009007DE"/>
    <w:rsid w:val="00914547"/>
    <w:rsid w:val="009145E9"/>
    <w:rsid w:val="00925BCA"/>
    <w:rsid w:val="0092609C"/>
    <w:rsid w:val="00934878"/>
    <w:rsid w:val="0096148D"/>
    <w:rsid w:val="00962929"/>
    <w:rsid w:val="009732E6"/>
    <w:rsid w:val="0097556D"/>
    <w:rsid w:val="0099714B"/>
    <w:rsid w:val="00997624"/>
    <w:rsid w:val="009A2166"/>
    <w:rsid w:val="009A278C"/>
    <w:rsid w:val="009A2D77"/>
    <w:rsid w:val="009B08B0"/>
    <w:rsid w:val="009B0DF0"/>
    <w:rsid w:val="009B1752"/>
    <w:rsid w:val="009B5AA5"/>
    <w:rsid w:val="009C1036"/>
    <w:rsid w:val="009C4982"/>
    <w:rsid w:val="009D0EF3"/>
    <w:rsid w:val="009D42F8"/>
    <w:rsid w:val="009D69D8"/>
    <w:rsid w:val="009E25DC"/>
    <w:rsid w:val="009E3096"/>
    <w:rsid w:val="009E7442"/>
    <w:rsid w:val="009F2CF1"/>
    <w:rsid w:val="009F4065"/>
    <w:rsid w:val="00A0124B"/>
    <w:rsid w:val="00A02041"/>
    <w:rsid w:val="00A05364"/>
    <w:rsid w:val="00A06145"/>
    <w:rsid w:val="00A11144"/>
    <w:rsid w:val="00A13146"/>
    <w:rsid w:val="00A3085B"/>
    <w:rsid w:val="00A31A53"/>
    <w:rsid w:val="00A32599"/>
    <w:rsid w:val="00A36E04"/>
    <w:rsid w:val="00A43B93"/>
    <w:rsid w:val="00A4758D"/>
    <w:rsid w:val="00A50D17"/>
    <w:rsid w:val="00A51290"/>
    <w:rsid w:val="00A61AB1"/>
    <w:rsid w:val="00A6445F"/>
    <w:rsid w:val="00A70390"/>
    <w:rsid w:val="00A7669B"/>
    <w:rsid w:val="00A849B0"/>
    <w:rsid w:val="00A92C48"/>
    <w:rsid w:val="00A944BF"/>
    <w:rsid w:val="00AA2027"/>
    <w:rsid w:val="00AA20A3"/>
    <w:rsid w:val="00AB4107"/>
    <w:rsid w:val="00AC6B29"/>
    <w:rsid w:val="00AD0383"/>
    <w:rsid w:val="00AD069D"/>
    <w:rsid w:val="00AD19D5"/>
    <w:rsid w:val="00AD2ABA"/>
    <w:rsid w:val="00AD4A70"/>
    <w:rsid w:val="00AE1419"/>
    <w:rsid w:val="00AE65B0"/>
    <w:rsid w:val="00AF1A08"/>
    <w:rsid w:val="00AF2CC8"/>
    <w:rsid w:val="00AF5A34"/>
    <w:rsid w:val="00AF6A36"/>
    <w:rsid w:val="00B0083C"/>
    <w:rsid w:val="00B04B35"/>
    <w:rsid w:val="00B134A3"/>
    <w:rsid w:val="00B2215D"/>
    <w:rsid w:val="00B27D91"/>
    <w:rsid w:val="00B330F7"/>
    <w:rsid w:val="00B37536"/>
    <w:rsid w:val="00B4066B"/>
    <w:rsid w:val="00B46E53"/>
    <w:rsid w:val="00B552AA"/>
    <w:rsid w:val="00B57A74"/>
    <w:rsid w:val="00B6504A"/>
    <w:rsid w:val="00B709D9"/>
    <w:rsid w:val="00B75D53"/>
    <w:rsid w:val="00B81BAA"/>
    <w:rsid w:val="00B835A7"/>
    <w:rsid w:val="00B87355"/>
    <w:rsid w:val="00B906BC"/>
    <w:rsid w:val="00B91D60"/>
    <w:rsid w:val="00B945E1"/>
    <w:rsid w:val="00B97009"/>
    <w:rsid w:val="00BA050A"/>
    <w:rsid w:val="00BA3EF4"/>
    <w:rsid w:val="00BA7C5F"/>
    <w:rsid w:val="00BB291D"/>
    <w:rsid w:val="00BB2A65"/>
    <w:rsid w:val="00BB77B6"/>
    <w:rsid w:val="00BC390C"/>
    <w:rsid w:val="00BE201F"/>
    <w:rsid w:val="00BE4E81"/>
    <w:rsid w:val="00BE5839"/>
    <w:rsid w:val="00BF2CC5"/>
    <w:rsid w:val="00C0372A"/>
    <w:rsid w:val="00C11192"/>
    <w:rsid w:val="00C12667"/>
    <w:rsid w:val="00C24544"/>
    <w:rsid w:val="00C35F39"/>
    <w:rsid w:val="00C36BA2"/>
    <w:rsid w:val="00C467DD"/>
    <w:rsid w:val="00C515D1"/>
    <w:rsid w:val="00C54609"/>
    <w:rsid w:val="00C54A3D"/>
    <w:rsid w:val="00C55DA3"/>
    <w:rsid w:val="00C562FD"/>
    <w:rsid w:val="00C569F5"/>
    <w:rsid w:val="00C61884"/>
    <w:rsid w:val="00C63BAD"/>
    <w:rsid w:val="00C665A5"/>
    <w:rsid w:val="00C70819"/>
    <w:rsid w:val="00C72D1D"/>
    <w:rsid w:val="00C76BF0"/>
    <w:rsid w:val="00C814A9"/>
    <w:rsid w:val="00C828C6"/>
    <w:rsid w:val="00C85F3D"/>
    <w:rsid w:val="00C870E7"/>
    <w:rsid w:val="00C90571"/>
    <w:rsid w:val="00C96A12"/>
    <w:rsid w:val="00CA6C05"/>
    <w:rsid w:val="00CB12F2"/>
    <w:rsid w:val="00CB4791"/>
    <w:rsid w:val="00CC1051"/>
    <w:rsid w:val="00CC3FCB"/>
    <w:rsid w:val="00CD092A"/>
    <w:rsid w:val="00CD1DF6"/>
    <w:rsid w:val="00CD3BBC"/>
    <w:rsid w:val="00CD6C45"/>
    <w:rsid w:val="00CE0EE4"/>
    <w:rsid w:val="00CF1DC3"/>
    <w:rsid w:val="00CF5378"/>
    <w:rsid w:val="00CF5ADA"/>
    <w:rsid w:val="00D1336D"/>
    <w:rsid w:val="00D17D47"/>
    <w:rsid w:val="00D20E44"/>
    <w:rsid w:val="00D23A80"/>
    <w:rsid w:val="00D30115"/>
    <w:rsid w:val="00D340AC"/>
    <w:rsid w:val="00D3561E"/>
    <w:rsid w:val="00D41F9B"/>
    <w:rsid w:val="00D46024"/>
    <w:rsid w:val="00D46A04"/>
    <w:rsid w:val="00D54466"/>
    <w:rsid w:val="00D55E29"/>
    <w:rsid w:val="00D65908"/>
    <w:rsid w:val="00D66DC4"/>
    <w:rsid w:val="00D67756"/>
    <w:rsid w:val="00D67768"/>
    <w:rsid w:val="00D7223F"/>
    <w:rsid w:val="00D74B26"/>
    <w:rsid w:val="00D75FB4"/>
    <w:rsid w:val="00D83951"/>
    <w:rsid w:val="00D86BE3"/>
    <w:rsid w:val="00D86D62"/>
    <w:rsid w:val="00D95BCD"/>
    <w:rsid w:val="00DB00AA"/>
    <w:rsid w:val="00DB3684"/>
    <w:rsid w:val="00DC35F2"/>
    <w:rsid w:val="00DC5204"/>
    <w:rsid w:val="00DC7125"/>
    <w:rsid w:val="00DC769D"/>
    <w:rsid w:val="00DD1629"/>
    <w:rsid w:val="00DF5D25"/>
    <w:rsid w:val="00DF6A50"/>
    <w:rsid w:val="00E02372"/>
    <w:rsid w:val="00E03788"/>
    <w:rsid w:val="00E07888"/>
    <w:rsid w:val="00E12E09"/>
    <w:rsid w:val="00E20D67"/>
    <w:rsid w:val="00E2488C"/>
    <w:rsid w:val="00E27EBF"/>
    <w:rsid w:val="00E31AFD"/>
    <w:rsid w:val="00E3275F"/>
    <w:rsid w:val="00E37089"/>
    <w:rsid w:val="00E37447"/>
    <w:rsid w:val="00E44211"/>
    <w:rsid w:val="00E4638A"/>
    <w:rsid w:val="00E507E4"/>
    <w:rsid w:val="00E556A3"/>
    <w:rsid w:val="00E57B36"/>
    <w:rsid w:val="00E600C3"/>
    <w:rsid w:val="00E62404"/>
    <w:rsid w:val="00E64A9F"/>
    <w:rsid w:val="00E70426"/>
    <w:rsid w:val="00E7708B"/>
    <w:rsid w:val="00E9573D"/>
    <w:rsid w:val="00EA38C8"/>
    <w:rsid w:val="00EA5A00"/>
    <w:rsid w:val="00EB3D06"/>
    <w:rsid w:val="00EB6353"/>
    <w:rsid w:val="00EB6AA0"/>
    <w:rsid w:val="00EC2B50"/>
    <w:rsid w:val="00EC3996"/>
    <w:rsid w:val="00ED14CB"/>
    <w:rsid w:val="00EF445A"/>
    <w:rsid w:val="00F00748"/>
    <w:rsid w:val="00F011D4"/>
    <w:rsid w:val="00F02C89"/>
    <w:rsid w:val="00F12205"/>
    <w:rsid w:val="00F2076C"/>
    <w:rsid w:val="00F25EAF"/>
    <w:rsid w:val="00F316B4"/>
    <w:rsid w:val="00F43C22"/>
    <w:rsid w:val="00F45B77"/>
    <w:rsid w:val="00F45D18"/>
    <w:rsid w:val="00F472FE"/>
    <w:rsid w:val="00F479DB"/>
    <w:rsid w:val="00F47CBE"/>
    <w:rsid w:val="00F51263"/>
    <w:rsid w:val="00F70852"/>
    <w:rsid w:val="00F74184"/>
    <w:rsid w:val="00F758E1"/>
    <w:rsid w:val="00F76F82"/>
    <w:rsid w:val="00F84266"/>
    <w:rsid w:val="00F87E08"/>
    <w:rsid w:val="00FA1A08"/>
    <w:rsid w:val="00FA40FE"/>
    <w:rsid w:val="00FA4BA9"/>
    <w:rsid w:val="00FB1113"/>
    <w:rsid w:val="00FB3380"/>
    <w:rsid w:val="00FB5C3C"/>
    <w:rsid w:val="00FD009B"/>
    <w:rsid w:val="00FD01B0"/>
    <w:rsid w:val="00FD5072"/>
    <w:rsid w:val="00FE1415"/>
    <w:rsid w:val="00FF3E8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9E890"/>
  <w15:docId w15:val="{B54F5273-1D25-4998-8FDF-36297E08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EA0"/>
    <w:pPr>
      <w:spacing w:after="160" w:line="259" w:lineRule="auto"/>
    </w:pPr>
  </w:style>
  <w:style w:type="paragraph" w:styleId="Heading3">
    <w:name w:val="heading 3"/>
    <w:basedOn w:val="Normal"/>
    <w:next w:val="Normal"/>
    <w:link w:val="Heading3Char"/>
    <w:uiPriority w:val="9"/>
    <w:unhideWhenUsed/>
    <w:qFormat/>
    <w:rsid w:val="005521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Κεφαλίδα Char"/>
    <w:basedOn w:val="DefaultParagraphFont"/>
    <w:link w:val="1"/>
    <w:uiPriority w:val="99"/>
    <w:qFormat/>
    <w:rsid w:val="00892992"/>
  </w:style>
  <w:style w:type="character" w:customStyle="1" w:styleId="CommentTextChar">
    <w:name w:val="Comment Text Char"/>
    <w:basedOn w:val="DefaultParagraphFont"/>
    <w:link w:val="CommentText"/>
    <w:uiPriority w:val="99"/>
    <w:qFormat/>
    <w:rsid w:val="00892992"/>
  </w:style>
  <w:style w:type="character" w:styleId="CommentReference">
    <w:name w:val="annotation reference"/>
    <w:basedOn w:val="DefaultParagraphFont"/>
    <w:uiPriority w:val="99"/>
    <w:semiHidden/>
    <w:unhideWhenUsed/>
    <w:qFormat/>
    <w:rsid w:val="000219F9"/>
    <w:rPr>
      <w:sz w:val="16"/>
      <w:szCs w:val="16"/>
    </w:rPr>
  </w:style>
  <w:style w:type="character" w:customStyle="1" w:styleId="CommentSubjectChar">
    <w:name w:val="Comment Subject Char"/>
    <w:basedOn w:val="DefaultParagraphFont"/>
    <w:link w:val="CommentSubject"/>
    <w:uiPriority w:val="99"/>
    <w:semiHidden/>
    <w:qFormat/>
    <w:rsid w:val="000219F9"/>
    <w:rPr>
      <w:sz w:val="20"/>
      <w:szCs w:val="20"/>
    </w:rPr>
  </w:style>
  <w:style w:type="character" w:customStyle="1" w:styleId="BalloonTextChar">
    <w:name w:val="Balloon Text Char"/>
    <w:basedOn w:val="CommentSubjectChar"/>
    <w:link w:val="BalloonText"/>
    <w:uiPriority w:val="99"/>
    <w:semiHidden/>
    <w:qFormat/>
    <w:rsid w:val="000219F9"/>
    <w:rPr>
      <w:b/>
      <w:bCs/>
      <w:sz w:val="20"/>
      <w:szCs w:val="20"/>
    </w:rPr>
  </w:style>
  <w:style w:type="character" w:customStyle="1" w:styleId="FootnoteTextChar">
    <w:name w:val="Footnote Text Char"/>
    <w:basedOn w:val="DefaultParagraphFont"/>
    <w:link w:val="FootnoteText"/>
    <w:uiPriority w:val="99"/>
    <w:semiHidden/>
    <w:qFormat/>
    <w:rsid w:val="000219F9"/>
    <w:rPr>
      <w:rFonts w:ascii="Segoe UI" w:hAnsi="Segoe UI" w:cs="Segoe UI"/>
      <w:sz w:val="18"/>
      <w:szCs w:val="18"/>
    </w:rPr>
  </w:style>
  <w:style w:type="character" w:customStyle="1" w:styleId="InternetLink">
    <w:name w:val="Internet Link"/>
    <w:basedOn w:val="DefaultParagraphFont"/>
    <w:uiPriority w:val="99"/>
    <w:unhideWhenUsed/>
    <w:rsid w:val="00550730"/>
    <w:rPr>
      <w:color w:val="0563C1" w:themeColor="hyperlink"/>
      <w:u w:val="single"/>
    </w:rPr>
  </w:style>
  <w:style w:type="character" w:styleId="FollowedHyperlink">
    <w:name w:val="FollowedHyperlink"/>
    <w:basedOn w:val="DefaultParagraphFont"/>
    <w:uiPriority w:val="99"/>
    <w:semiHidden/>
    <w:unhideWhenUsed/>
    <w:qFormat/>
    <w:rsid w:val="000A2032"/>
    <w:rPr>
      <w:color w:val="954F72" w:themeColor="followedHyperlink"/>
      <w:u w:val="single"/>
    </w:rPr>
  </w:style>
  <w:style w:type="character" w:customStyle="1" w:styleId="Char0">
    <w:name w:val="Κείμενο υποσημείωσης Char"/>
    <w:basedOn w:val="DefaultParagraphFont"/>
    <w:uiPriority w:val="99"/>
    <w:qFormat/>
    <w:rsid w:val="00E25956"/>
    <w:rPr>
      <w:rFonts w:ascii="Times New Roman" w:eastAsia="Times New Roman" w:hAnsi="Times New Roman" w:cs="Times New Roman"/>
      <w:sz w:val="20"/>
      <w:szCs w:val="20"/>
      <w:lang w:val="el-GR" w:eastAsia="el-GR"/>
    </w:rPr>
  </w:style>
  <w:style w:type="character" w:customStyle="1" w:styleId="ListLabel1">
    <w:name w:val="ListLabel 1"/>
    <w:qFormat/>
    <w:rsid w:val="002E1873"/>
    <w:rPr>
      <w:rFonts w:cs="Courier New"/>
    </w:rPr>
  </w:style>
  <w:style w:type="character" w:customStyle="1" w:styleId="ListLabel2">
    <w:name w:val="ListLabel 2"/>
    <w:qFormat/>
    <w:rsid w:val="002E1873"/>
    <w:rPr>
      <w:rFonts w:eastAsia="Calibri"/>
    </w:rPr>
  </w:style>
  <w:style w:type="character" w:customStyle="1" w:styleId="ListLabel3">
    <w:name w:val="ListLabel 3"/>
    <w:qFormat/>
    <w:rsid w:val="002E1873"/>
    <w:rPr>
      <w:rFonts w:cs="Courier New"/>
    </w:rPr>
  </w:style>
  <w:style w:type="character" w:customStyle="1" w:styleId="ListLabel4">
    <w:name w:val="ListLabel 4"/>
    <w:qFormat/>
    <w:rsid w:val="002E1873"/>
    <w:rPr>
      <w:rFonts w:cs="Courier New"/>
    </w:rPr>
  </w:style>
  <w:style w:type="character" w:customStyle="1" w:styleId="ListLabel5">
    <w:name w:val="ListLabel 5"/>
    <w:qFormat/>
    <w:rsid w:val="002E1873"/>
    <w:rPr>
      <w:rFonts w:cs="Courier New"/>
    </w:rPr>
  </w:style>
  <w:style w:type="character" w:customStyle="1" w:styleId="ListLabel6">
    <w:name w:val="ListLabel 6"/>
    <w:qFormat/>
    <w:rsid w:val="002E1873"/>
    <w:rPr>
      <w:rFonts w:cs="Courier New"/>
    </w:rPr>
  </w:style>
  <w:style w:type="character" w:customStyle="1" w:styleId="ListLabel7">
    <w:name w:val="ListLabel 7"/>
    <w:qFormat/>
    <w:rsid w:val="002E1873"/>
    <w:rPr>
      <w:rFonts w:cs="Courier New"/>
    </w:rPr>
  </w:style>
  <w:style w:type="character" w:customStyle="1" w:styleId="ListLabel8">
    <w:name w:val="ListLabel 8"/>
    <w:qFormat/>
    <w:rsid w:val="002E1873"/>
    <w:rPr>
      <w:rFonts w:cs="Courier New"/>
    </w:rPr>
  </w:style>
  <w:style w:type="character" w:customStyle="1" w:styleId="ListLabel9">
    <w:name w:val="ListLabel 9"/>
    <w:qFormat/>
    <w:rsid w:val="002E1873"/>
    <w:rPr>
      <w:rFonts w:cs="Courier New"/>
    </w:rPr>
  </w:style>
  <w:style w:type="character" w:customStyle="1" w:styleId="ListLabel10">
    <w:name w:val="ListLabel 10"/>
    <w:qFormat/>
    <w:rsid w:val="002E1873"/>
    <w:rPr>
      <w:rFonts w:cs="Courier New"/>
    </w:rPr>
  </w:style>
  <w:style w:type="character" w:customStyle="1" w:styleId="ListLabel11">
    <w:name w:val="ListLabel 11"/>
    <w:qFormat/>
    <w:rsid w:val="002E1873"/>
    <w:rPr>
      <w:sz w:val="20"/>
    </w:rPr>
  </w:style>
  <w:style w:type="character" w:customStyle="1" w:styleId="ListLabel12">
    <w:name w:val="ListLabel 12"/>
    <w:qFormat/>
    <w:rsid w:val="002E1873"/>
    <w:rPr>
      <w:sz w:val="20"/>
    </w:rPr>
  </w:style>
  <w:style w:type="character" w:customStyle="1" w:styleId="ListLabel13">
    <w:name w:val="ListLabel 13"/>
    <w:qFormat/>
    <w:rsid w:val="002E1873"/>
    <w:rPr>
      <w:sz w:val="20"/>
    </w:rPr>
  </w:style>
  <w:style w:type="character" w:customStyle="1" w:styleId="ListLabel14">
    <w:name w:val="ListLabel 14"/>
    <w:qFormat/>
    <w:rsid w:val="002E1873"/>
    <w:rPr>
      <w:sz w:val="20"/>
    </w:rPr>
  </w:style>
  <w:style w:type="character" w:customStyle="1" w:styleId="ListLabel15">
    <w:name w:val="ListLabel 15"/>
    <w:qFormat/>
    <w:rsid w:val="002E1873"/>
    <w:rPr>
      <w:sz w:val="20"/>
    </w:rPr>
  </w:style>
  <w:style w:type="character" w:customStyle="1" w:styleId="ListLabel16">
    <w:name w:val="ListLabel 16"/>
    <w:qFormat/>
    <w:rsid w:val="002E1873"/>
    <w:rPr>
      <w:sz w:val="20"/>
    </w:rPr>
  </w:style>
  <w:style w:type="character" w:customStyle="1" w:styleId="ListLabel17">
    <w:name w:val="ListLabel 17"/>
    <w:qFormat/>
    <w:rsid w:val="002E1873"/>
    <w:rPr>
      <w:sz w:val="20"/>
    </w:rPr>
  </w:style>
  <w:style w:type="character" w:customStyle="1" w:styleId="ListLabel18">
    <w:name w:val="ListLabel 18"/>
    <w:qFormat/>
    <w:rsid w:val="002E1873"/>
    <w:rPr>
      <w:sz w:val="20"/>
    </w:rPr>
  </w:style>
  <w:style w:type="character" w:customStyle="1" w:styleId="ListLabel19">
    <w:name w:val="ListLabel 19"/>
    <w:qFormat/>
    <w:rsid w:val="002E1873"/>
    <w:rPr>
      <w:sz w:val="20"/>
    </w:rPr>
  </w:style>
  <w:style w:type="character" w:customStyle="1" w:styleId="ListLabel20">
    <w:name w:val="ListLabel 20"/>
    <w:qFormat/>
    <w:rsid w:val="002E1873"/>
    <w:rPr>
      <w:rFonts w:eastAsia="Calibri" w:cs="Calibri Light"/>
    </w:rPr>
  </w:style>
  <w:style w:type="character" w:customStyle="1" w:styleId="ListLabel21">
    <w:name w:val="ListLabel 21"/>
    <w:qFormat/>
    <w:rsid w:val="002E1873"/>
    <w:rPr>
      <w:rFonts w:cs="Courier New"/>
    </w:rPr>
  </w:style>
  <w:style w:type="character" w:customStyle="1" w:styleId="ListLabel22">
    <w:name w:val="ListLabel 22"/>
    <w:qFormat/>
    <w:rsid w:val="002E1873"/>
    <w:rPr>
      <w:rFonts w:cs="Courier New"/>
    </w:rPr>
  </w:style>
  <w:style w:type="character" w:customStyle="1" w:styleId="ListLabel23">
    <w:name w:val="ListLabel 23"/>
    <w:qFormat/>
    <w:rsid w:val="002E1873"/>
    <w:rPr>
      <w:rFonts w:cs="Courier New"/>
    </w:rPr>
  </w:style>
  <w:style w:type="paragraph" w:customStyle="1" w:styleId="Heading">
    <w:name w:val="Heading"/>
    <w:basedOn w:val="Normal"/>
    <w:next w:val="BodyText"/>
    <w:qFormat/>
    <w:rsid w:val="002E1873"/>
    <w:pPr>
      <w:keepNext/>
      <w:spacing w:before="240" w:after="120"/>
    </w:pPr>
    <w:rPr>
      <w:rFonts w:ascii="Liberation Sans" w:eastAsia="Noto Sans CJK SC Regular" w:hAnsi="Liberation Sans" w:cs="FreeSans"/>
      <w:sz w:val="28"/>
      <w:szCs w:val="28"/>
    </w:rPr>
  </w:style>
  <w:style w:type="paragraph" w:styleId="BodyText">
    <w:name w:val="Body Text"/>
    <w:basedOn w:val="Normal"/>
    <w:rsid w:val="002E1873"/>
    <w:pPr>
      <w:spacing w:after="140" w:line="288" w:lineRule="auto"/>
    </w:pPr>
  </w:style>
  <w:style w:type="paragraph" w:styleId="List">
    <w:name w:val="List"/>
    <w:basedOn w:val="BodyText"/>
    <w:rsid w:val="002E1873"/>
    <w:rPr>
      <w:rFonts w:cs="FreeSans"/>
    </w:rPr>
  </w:style>
  <w:style w:type="paragraph" w:customStyle="1" w:styleId="10">
    <w:name w:val="Λεζάντα1"/>
    <w:basedOn w:val="Normal"/>
    <w:qFormat/>
    <w:rsid w:val="002E1873"/>
    <w:pPr>
      <w:suppressLineNumbers/>
      <w:spacing w:before="120" w:after="120"/>
    </w:pPr>
    <w:rPr>
      <w:rFonts w:cs="FreeSans"/>
      <w:i/>
      <w:iCs/>
      <w:sz w:val="24"/>
      <w:szCs w:val="24"/>
    </w:rPr>
  </w:style>
  <w:style w:type="paragraph" w:customStyle="1" w:styleId="Index">
    <w:name w:val="Index"/>
    <w:basedOn w:val="Normal"/>
    <w:qFormat/>
    <w:rsid w:val="002E1873"/>
    <w:pPr>
      <w:suppressLineNumbers/>
    </w:pPr>
    <w:rPr>
      <w:rFonts w:cs="FreeSans"/>
    </w:rPr>
  </w:style>
  <w:style w:type="paragraph" w:customStyle="1" w:styleId="1">
    <w:name w:val="Κεφαλίδα1"/>
    <w:basedOn w:val="Normal"/>
    <w:link w:val="Char"/>
    <w:uiPriority w:val="99"/>
    <w:unhideWhenUsed/>
    <w:rsid w:val="00892992"/>
    <w:pPr>
      <w:tabs>
        <w:tab w:val="center" w:pos="4680"/>
        <w:tab w:val="right" w:pos="9360"/>
      </w:tabs>
      <w:spacing w:after="0" w:line="240" w:lineRule="auto"/>
    </w:pPr>
  </w:style>
  <w:style w:type="paragraph" w:customStyle="1" w:styleId="11">
    <w:name w:val="Υποσέλιδο1"/>
    <w:basedOn w:val="Normal"/>
    <w:unhideWhenUsed/>
    <w:rsid w:val="00892992"/>
    <w:pPr>
      <w:tabs>
        <w:tab w:val="center" w:pos="4680"/>
        <w:tab w:val="right" w:pos="9360"/>
      </w:tabs>
      <w:spacing w:after="0" w:line="240" w:lineRule="auto"/>
    </w:pPr>
  </w:style>
  <w:style w:type="paragraph" w:styleId="ListParagraph">
    <w:name w:val="List Paragraph"/>
    <w:basedOn w:val="Normal"/>
    <w:uiPriority w:val="34"/>
    <w:qFormat/>
    <w:rsid w:val="000219F9"/>
    <w:pPr>
      <w:ind w:left="720"/>
      <w:contextualSpacing/>
    </w:pPr>
    <w:rPr>
      <w:lang w:val="el-GR"/>
    </w:rPr>
  </w:style>
  <w:style w:type="paragraph" w:styleId="CommentText">
    <w:name w:val="annotation text"/>
    <w:basedOn w:val="Normal"/>
    <w:link w:val="CommentTextChar"/>
    <w:uiPriority w:val="99"/>
    <w:semiHidden/>
    <w:unhideWhenUsed/>
    <w:qFormat/>
    <w:rsid w:val="000219F9"/>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0219F9"/>
    <w:rPr>
      <w:b/>
      <w:bCs/>
    </w:rPr>
  </w:style>
  <w:style w:type="paragraph" w:styleId="BalloonText">
    <w:name w:val="Balloon Text"/>
    <w:basedOn w:val="Normal"/>
    <w:link w:val="BalloonTextChar"/>
    <w:uiPriority w:val="99"/>
    <w:semiHidden/>
    <w:unhideWhenUsed/>
    <w:qFormat/>
    <w:rsid w:val="000219F9"/>
    <w:pPr>
      <w:spacing w:after="0" w:line="240" w:lineRule="auto"/>
    </w:pPr>
    <w:rPr>
      <w:rFonts w:ascii="Segoe UI" w:hAnsi="Segoe UI" w:cs="Segoe UI"/>
      <w:sz w:val="18"/>
      <w:szCs w:val="18"/>
    </w:rPr>
  </w:style>
  <w:style w:type="paragraph" w:styleId="Caption">
    <w:name w:val="caption"/>
    <w:basedOn w:val="Normal"/>
    <w:uiPriority w:val="35"/>
    <w:unhideWhenUsed/>
    <w:qFormat/>
    <w:rsid w:val="00D01E37"/>
    <w:pPr>
      <w:spacing w:before="120" w:after="200" w:line="240" w:lineRule="auto"/>
      <w:jc w:val="both"/>
    </w:pPr>
    <w:rPr>
      <w:rFonts w:ascii="Arial" w:eastAsia="Arial" w:hAnsi="Arial" w:cs="Arial"/>
      <w:b/>
      <w:bCs/>
      <w:color w:val="404040" w:themeColor="text1" w:themeTint="BF"/>
      <w:sz w:val="18"/>
      <w:szCs w:val="18"/>
      <w:lang w:val="el-GR"/>
    </w:rPr>
  </w:style>
  <w:style w:type="paragraph" w:styleId="FootnoteText">
    <w:name w:val="footnote text"/>
    <w:basedOn w:val="Normal"/>
    <w:link w:val="FootnoteTextChar"/>
    <w:uiPriority w:val="99"/>
    <w:qFormat/>
    <w:rsid w:val="00E25956"/>
    <w:pPr>
      <w:spacing w:after="0" w:line="240" w:lineRule="auto"/>
    </w:pPr>
    <w:rPr>
      <w:rFonts w:ascii="Times New Roman" w:eastAsia="Times New Roman" w:hAnsi="Times New Roman" w:cs="Times New Roman"/>
      <w:sz w:val="20"/>
      <w:szCs w:val="20"/>
      <w:lang w:val="el-GR" w:eastAsia="el-GR"/>
    </w:rPr>
  </w:style>
  <w:style w:type="paragraph" w:styleId="Header">
    <w:name w:val="header"/>
    <w:basedOn w:val="Normal"/>
    <w:link w:val="HeaderChar"/>
    <w:uiPriority w:val="99"/>
    <w:unhideWhenUsed/>
    <w:rsid w:val="00FE141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1415"/>
  </w:style>
  <w:style w:type="paragraph" w:styleId="Footer">
    <w:name w:val="footer"/>
    <w:basedOn w:val="Normal"/>
    <w:link w:val="FooterChar"/>
    <w:unhideWhenUsed/>
    <w:rsid w:val="00FE1415"/>
    <w:pPr>
      <w:tabs>
        <w:tab w:val="center" w:pos="4153"/>
        <w:tab w:val="right" w:pos="8306"/>
      </w:tabs>
      <w:spacing w:after="0" w:line="240" w:lineRule="auto"/>
    </w:pPr>
  </w:style>
  <w:style w:type="character" w:customStyle="1" w:styleId="FooterChar">
    <w:name w:val="Footer Char"/>
    <w:basedOn w:val="DefaultParagraphFont"/>
    <w:link w:val="Footer"/>
    <w:rsid w:val="00FE1415"/>
  </w:style>
  <w:style w:type="character" w:styleId="Hyperlink">
    <w:name w:val="Hyperlink"/>
    <w:basedOn w:val="DefaultParagraphFont"/>
    <w:uiPriority w:val="99"/>
    <w:unhideWhenUsed/>
    <w:rsid w:val="0039097A"/>
    <w:rPr>
      <w:color w:val="0563C1" w:themeColor="hyperlink"/>
      <w:u w:val="single"/>
    </w:rPr>
  </w:style>
  <w:style w:type="paragraph" w:customStyle="1" w:styleId="a">
    <w:name w:val="λεζαντα"/>
    <w:basedOn w:val="Normal"/>
    <w:link w:val="Char1"/>
    <w:qFormat/>
    <w:rsid w:val="00F472FE"/>
    <w:pPr>
      <w:suppressAutoHyphens/>
      <w:spacing w:beforeLines="40" w:afterLines="40" w:line="240" w:lineRule="auto"/>
      <w:ind w:left="1276" w:hanging="1276"/>
      <w:jc w:val="both"/>
    </w:pPr>
    <w:rPr>
      <w:rFonts w:ascii="Myriad Pro Cond" w:eastAsia="Calibri" w:hAnsi="Myriad Pro Cond" w:cs="Times New Roman"/>
      <w:color w:val="1F4E79"/>
      <w:sz w:val="24"/>
      <w:szCs w:val="26"/>
    </w:rPr>
  </w:style>
  <w:style w:type="character" w:customStyle="1" w:styleId="Char1">
    <w:name w:val="λεζαντα Char"/>
    <w:link w:val="a"/>
    <w:rsid w:val="00F472FE"/>
    <w:rPr>
      <w:rFonts w:ascii="Myriad Pro Cond" w:eastAsia="Calibri" w:hAnsi="Myriad Pro Cond" w:cs="Times New Roman"/>
      <w:color w:val="1F4E79"/>
      <w:sz w:val="24"/>
      <w:szCs w:val="26"/>
    </w:rPr>
  </w:style>
  <w:style w:type="character" w:styleId="Emphasis">
    <w:name w:val="Emphasis"/>
    <w:basedOn w:val="DefaultParagraphFont"/>
    <w:uiPriority w:val="20"/>
    <w:qFormat/>
    <w:rsid w:val="004A2D3B"/>
    <w:rPr>
      <w:i/>
      <w:iCs/>
    </w:rPr>
  </w:style>
  <w:style w:type="character" w:customStyle="1" w:styleId="UnresolvedMention1">
    <w:name w:val="Unresolved Mention1"/>
    <w:basedOn w:val="DefaultParagraphFont"/>
    <w:uiPriority w:val="99"/>
    <w:semiHidden/>
    <w:unhideWhenUsed/>
    <w:rsid w:val="005521A3"/>
    <w:rPr>
      <w:color w:val="605E5C"/>
      <w:shd w:val="clear" w:color="auto" w:fill="E1DFDD"/>
    </w:rPr>
  </w:style>
  <w:style w:type="character" w:customStyle="1" w:styleId="Heading3Char">
    <w:name w:val="Heading 3 Char"/>
    <w:basedOn w:val="DefaultParagraphFont"/>
    <w:link w:val="Heading3"/>
    <w:uiPriority w:val="9"/>
    <w:rsid w:val="005521A3"/>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5521A3"/>
    <w:rPr>
      <w:b/>
      <w:bCs/>
    </w:rPr>
  </w:style>
  <w:style w:type="paragraph" w:styleId="NormalWeb">
    <w:name w:val="Normal (Web)"/>
    <w:basedOn w:val="Normal"/>
    <w:uiPriority w:val="99"/>
    <w:unhideWhenUsed/>
    <w:rsid w:val="005775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835AA2"/>
    <w:rPr>
      <w:color w:val="605E5C"/>
      <w:shd w:val="clear" w:color="auto" w:fill="E1DFDD"/>
    </w:rPr>
  </w:style>
  <w:style w:type="paragraph" w:customStyle="1" w:styleId="isselectedend">
    <w:name w:val="isselectedend"/>
    <w:basedOn w:val="Normal"/>
    <w:rsid w:val="00827F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940704">
      <w:bodyDiv w:val="1"/>
      <w:marLeft w:val="0"/>
      <w:marRight w:val="0"/>
      <w:marTop w:val="0"/>
      <w:marBottom w:val="0"/>
      <w:divBdr>
        <w:top w:val="none" w:sz="0" w:space="0" w:color="auto"/>
        <w:left w:val="none" w:sz="0" w:space="0" w:color="auto"/>
        <w:bottom w:val="none" w:sz="0" w:space="0" w:color="auto"/>
        <w:right w:val="none" w:sz="0" w:space="0" w:color="auto"/>
      </w:divBdr>
    </w:div>
    <w:div w:id="388264209">
      <w:bodyDiv w:val="1"/>
      <w:marLeft w:val="0"/>
      <w:marRight w:val="0"/>
      <w:marTop w:val="0"/>
      <w:marBottom w:val="0"/>
      <w:divBdr>
        <w:top w:val="none" w:sz="0" w:space="0" w:color="auto"/>
        <w:left w:val="none" w:sz="0" w:space="0" w:color="auto"/>
        <w:bottom w:val="none" w:sz="0" w:space="0" w:color="auto"/>
        <w:right w:val="none" w:sz="0" w:space="0" w:color="auto"/>
      </w:divBdr>
    </w:div>
    <w:div w:id="573008392">
      <w:bodyDiv w:val="1"/>
      <w:marLeft w:val="0"/>
      <w:marRight w:val="0"/>
      <w:marTop w:val="0"/>
      <w:marBottom w:val="0"/>
      <w:divBdr>
        <w:top w:val="none" w:sz="0" w:space="0" w:color="auto"/>
        <w:left w:val="none" w:sz="0" w:space="0" w:color="auto"/>
        <w:bottom w:val="none" w:sz="0" w:space="0" w:color="auto"/>
        <w:right w:val="none" w:sz="0" w:space="0" w:color="auto"/>
      </w:divBdr>
    </w:div>
    <w:div w:id="634457769">
      <w:bodyDiv w:val="1"/>
      <w:marLeft w:val="0"/>
      <w:marRight w:val="0"/>
      <w:marTop w:val="0"/>
      <w:marBottom w:val="0"/>
      <w:divBdr>
        <w:top w:val="none" w:sz="0" w:space="0" w:color="auto"/>
        <w:left w:val="none" w:sz="0" w:space="0" w:color="auto"/>
        <w:bottom w:val="none" w:sz="0" w:space="0" w:color="auto"/>
        <w:right w:val="none" w:sz="0" w:space="0" w:color="auto"/>
      </w:divBdr>
    </w:div>
    <w:div w:id="1697072036">
      <w:bodyDiv w:val="1"/>
      <w:marLeft w:val="0"/>
      <w:marRight w:val="0"/>
      <w:marTop w:val="0"/>
      <w:marBottom w:val="0"/>
      <w:divBdr>
        <w:top w:val="none" w:sz="0" w:space="0" w:color="auto"/>
        <w:left w:val="none" w:sz="0" w:space="0" w:color="auto"/>
        <w:bottom w:val="none" w:sz="0" w:space="0" w:color="auto"/>
        <w:right w:val="none" w:sz="0" w:space="0" w:color="auto"/>
      </w:divBdr>
    </w:div>
    <w:div w:id="1753045864">
      <w:bodyDiv w:val="1"/>
      <w:marLeft w:val="0"/>
      <w:marRight w:val="0"/>
      <w:marTop w:val="0"/>
      <w:marBottom w:val="0"/>
      <w:divBdr>
        <w:top w:val="none" w:sz="0" w:space="0" w:color="auto"/>
        <w:left w:val="none" w:sz="0" w:space="0" w:color="auto"/>
        <w:bottom w:val="none" w:sz="0" w:space="0" w:color="auto"/>
        <w:right w:val="none" w:sz="0" w:space="0" w:color="auto"/>
      </w:divBdr>
    </w:div>
    <w:div w:id="1915167877">
      <w:bodyDiv w:val="1"/>
      <w:marLeft w:val="0"/>
      <w:marRight w:val="0"/>
      <w:marTop w:val="0"/>
      <w:marBottom w:val="0"/>
      <w:divBdr>
        <w:top w:val="none" w:sz="0" w:space="0" w:color="auto"/>
        <w:left w:val="none" w:sz="0" w:space="0" w:color="auto"/>
        <w:bottom w:val="none" w:sz="0" w:space="0" w:color="auto"/>
        <w:right w:val="none" w:sz="0" w:space="0" w:color="auto"/>
      </w:divBdr>
    </w:div>
    <w:div w:id="2011132134">
      <w:bodyDiv w:val="1"/>
      <w:marLeft w:val="0"/>
      <w:marRight w:val="0"/>
      <w:marTop w:val="0"/>
      <w:marBottom w:val="0"/>
      <w:divBdr>
        <w:top w:val="none" w:sz="0" w:space="0" w:color="auto"/>
        <w:left w:val="none" w:sz="0" w:space="0" w:color="auto"/>
        <w:bottom w:val="none" w:sz="0" w:space="0" w:color="auto"/>
        <w:right w:val="none" w:sz="0" w:space="0" w:color="auto"/>
      </w:divBdr>
    </w:div>
    <w:div w:id="20721881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unication@ekt.g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gitaltransition.ekt.g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transition.ekt.g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C1E84DE6F0B14EBFD3DB873A1B76BA" ma:contentTypeVersion="15" ma:contentTypeDescription="Create a new document." ma:contentTypeScope="" ma:versionID="302ae15054c4819775ce86b58823559e">
  <xsd:schema xmlns:xsd="http://www.w3.org/2001/XMLSchema" xmlns:xs="http://www.w3.org/2001/XMLSchema" xmlns:p="http://schemas.microsoft.com/office/2006/metadata/properties" xmlns:ns2="fc1a25ad-c8f1-48d8-b13a-dff6fe122856" xmlns:ns3="3c85ea02-3356-4cf5-86fa-e25d0775b27d" targetNamespace="http://schemas.microsoft.com/office/2006/metadata/properties" ma:root="true" ma:fieldsID="03802dab2b6fb9122eed5e9ded6ec83d" ns2:_="" ns3:_="">
    <xsd:import namespace="fc1a25ad-c8f1-48d8-b13a-dff6fe122856"/>
    <xsd:import namespace="3c85ea02-3356-4cf5-86fa-e25d0775b2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a25ad-c8f1-48d8-b13a-dff6fe122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aa06fc0-2660-4b8b-926d-b982d5e6ab2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85ea02-3356-4cf5-86fa-e25d0775b27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7fec2d0-1553-491e-a526-fa1a0c89cbb4}" ma:internalName="TaxCatchAll" ma:showField="CatchAllData" ma:web="3c85ea02-3356-4cf5-86fa-e25d0775b2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c85ea02-3356-4cf5-86fa-e25d0775b27d" xsi:nil="true"/>
    <lcf76f155ced4ddcb4097134ff3c332f xmlns="fc1a25ad-c8f1-48d8-b13a-dff6fe12285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CEFC4-D75B-4208-805C-4F18B4727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a25ad-c8f1-48d8-b13a-dff6fe122856"/>
    <ds:schemaRef ds:uri="3c85ea02-3356-4cf5-86fa-e25d0775b2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C71795-8556-4C71-B376-894D395A4ADA}">
  <ds:schemaRef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3c85ea02-3356-4cf5-86fa-e25d0775b27d"/>
    <ds:schemaRef ds:uri="http://purl.org/dc/terms/"/>
    <ds:schemaRef ds:uri="fc1a25ad-c8f1-48d8-b13a-dff6fe122856"/>
    <ds:schemaRef ds:uri="http://www.w3.org/XML/1998/namespace"/>
    <ds:schemaRef ds:uri="http://purl.org/dc/dcmitype/"/>
  </ds:schemaRefs>
</ds:datastoreItem>
</file>

<file path=customXml/itemProps3.xml><?xml version="1.0" encoding="utf-8"?>
<ds:datastoreItem xmlns:ds="http://schemas.openxmlformats.org/officeDocument/2006/customXml" ds:itemID="{23FE03C2-DED7-4F15-8463-A3837BF9B02E}">
  <ds:schemaRefs>
    <ds:schemaRef ds:uri="http://schemas.microsoft.com/sharepoint/v3/contenttype/forms"/>
  </ds:schemaRefs>
</ds:datastoreItem>
</file>

<file path=customXml/itemProps4.xml><?xml version="1.0" encoding="utf-8"?>
<ds:datastoreItem xmlns:ds="http://schemas.openxmlformats.org/officeDocument/2006/customXml" ds:itemID="{10F856AA-5C70-4909-A93B-E8939DD45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3</Pages>
  <Words>1136</Words>
  <Characters>7672</Characters>
  <Application>Microsoft Office Word</Application>
  <DocSecurity>0</DocSecurity>
  <Lines>147</Lines>
  <Paragraphs>45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Μαργαρίτης Προέδρου - ΕΚΤ</dc:creator>
  <cp:lastModifiedBy> </cp:lastModifiedBy>
  <cp:revision>13</cp:revision>
  <cp:lastPrinted>2026-07-17T08:12:00Z</cp:lastPrinted>
  <dcterms:created xsi:type="dcterms:W3CDTF">2026-07-29T13:55:00Z</dcterms:created>
  <dcterms:modified xsi:type="dcterms:W3CDTF">2026-07-30T11:48:00Z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0x010100FDC1E84DE6F0B14EBFD3DB873A1B76BA</vt:lpwstr>
  </property>
  <property fmtid="{D5CDD505-2E9C-101B-9397-08002B2CF9AE}" pid="9" name="MediaServiceImageTags">
    <vt:lpwstr/>
  </property>
</Properties>
</file>