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8E5AD" w14:textId="085D58E9" w:rsidR="005521A3" w:rsidRPr="00041536" w:rsidRDefault="00DC769D" w:rsidP="005521A3">
      <w:pPr>
        <w:spacing w:before="120" w:after="0" w:line="240" w:lineRule="auto"/>
        <w:jc w:val="center"/>
        <w:rPr>
          <w:rFonts w:cstheme="majorHAnsi"/>
          <w:bCs/>
          <w:color w:val="262626" w:themeColor="text1" w:themeTint="D9"/>
          <w:sz w:val="28"/>
          <w:szCs w:val="20"/>
          <w:lang w:val="el-GR"/>
        </w:rPr>
      </w:pPr>
      <w:r w:rsidRPr="00DC769D">
        <w:rPr>
          <w:rFonts w:cstheme="majorHAnsi"/>
          <w:b/>
          <w:bCs/>
          <w:color w:val="262626" w:themeColor="text1" w:themeTint="D9"/>
          <w:sz w:val="28"/>
          <w:lang w:val="el-GR"/>
        </w:rPr>
        <w:t xml:space="preserve">Το ΕΚΤ στη BEYOND 2026 με νέες συνεργασίες, ψηφιακές υπηρεσίες </w:t>
      </w:r>
      <w:r w:rsidR="00C72D1D">
        <w:rPr>
          <w:rFonts w:cstheme="majorHAnsi"/>
          <w:b/>
          <w:bCs/>
          <w:color w:val="262626" w:themeColor="text1" w:themeTint="D9"/>
          <w:sz w:val="28"/>
          <w:lang w:val="el-GR"/>
        </w:rPr>
        <w:br/>
      </w:r>
      <w:r w:rsidRPr="00DC769D">
        <w:rPr>
          <w:rFonts w:cstheme="majorHAnsi"/>
          <w:b/>
          <w:bCs/>
          <w:color w:val="262626" w:themeColor="text1" w:themeTint="D9"/>
          <w:sz w:val="28"/>
          <w:lang w:val="el-GR"/>
        </w:rPr>
        <w:t>και δράσεις για την καινοτομία</w:t>
      </w:r>
      <w:r w:rsidR="00041536" w:rsidRPr="00041536">
        <w:rPr>
          <w:rFonts w:cstheme="majorHAnsi"/>
          <w:bCs/>
          <w:color w:val="262626" w:themeColor="text1" w:themeTint="D9"/>
          <w:sz w:val="28"/>
          <w:szCs w:val="20"/>
          <w:lang w:val="el-GR"/>
        </w:rPr>
        <w:t xml:space="preserve"> </w:t>
      </w:r>
      <w:r>
        <w:rPr>
          <w:rFonts w:cstheme="majorHAnsi"/>
          <w:bCs/>
          <w:color w:val="262626" w:themeColor="text1" w:themeTint="D9"/>
          <w:sz w:val="28"/>
          <w:szCs w:val="20"/>
          <w:lang w:val="el-GR"/>
        </w:rPr>
        <w:br/>
      </w:r>
      <w:r w:rsidR="00786BB7" w:rsidRPr="00786BB7">
        <w:rPr>
          <w:rFonts w:cstheme="majorHAnsi"/>
          <w:bCs/>
          <w:color w:val="262626" w:themeColor="text1" w:themeTint="D9"/>
          <w:sz w:val="28"/>
          <w:szCs w:val="20"/>
          <w:lang w:val="el-GR"/>
        </w:rPr>
        <w:t>Η φετινή συμμετοχή αποτέλεσε ορόσημο, με τα δεδομένα, την Τεχνητή Νοημοσύνη και τις στρατ</w:t>
      </w:r>
      <w:r w:rsidR="00786BB7">
        <w:rPr>
          <w:rFonts w:cstheme="majorHAnsi"/>
          <w:bCs/>
          <w:color w:val="262626" w:themeColor="text1" w:themeTint="D9"/>
          <w:sz w:val="28"/>
          <w:szCs w:val="20"/>
          <w:lang w:val="el-GR"/>
        </w:rPr>
        <w:t>ηγικές συμπράξεις στο επίκεντρο</w:t>
      </w:r>
      <w:bookmarkStart w:id="0" w:name="_GoBack"/>
      <w:bookmarkEnd w:id="0"/>
    </w:p>
    <w:p w14:paraId="2148E5AE" w14:textId="77777777" w:rsidR="00C562FD" w:rsidRPr="00041536" w:rsidRDefault="00C562FD" w:rsidP="005521A3">
      <w:pPr>
        <w:jc w:val="both"/>
        <w:rPr>
          <w:rFonts w:eastAsia="Times New Roman" w:cstheme="minorHAnsi"/>
          <w:sz w:val="16"/>
          <w:lang w:val="el-GR"/>
        </w:rPr>
      </w:pPr>
    </w:p>
    <w:p w14:paraId="1B2A9B5F" w14:textId="31BF5F87" w:rsidR="00DC769D" w:rsidRPr="00FD01B0" w:rsidRDefault="00DC769D" w:rsidP="00FD01B0">
      <w:pPr>
        <w:spacing w:after="120" w:line="240" w:lineRule="auto"/>
        <w:jc w:val="both"/>
        <w:rPr>
          <w:rFonts w:cstheme="minorHAnsi"/>
          <w:bCs/>
          <w:lang w:val="el-GR"/>
        </w:rPr>
      </w:pPr>
      <w:r w:rsidRPr="00FD01B0">
        <w:rPr>
          <w:rFonts w:cstheme="minorHAnsi"/>
          <w:bCs/>
          <w:lang w:val="el-GR"/>
        </w:rPr>
        <w:t>Με πολυδιάστατη παρουσία, νέες ψηφιακές υπηρεσίες και πλατφόρμες, δράσεις για τα δεδομένα και την Τεχνητή Νοημοσύνη, καθώς και νέες στρατηγικές συνεργασίες με επιχειρηματικούς συνδέσμους του κλάδου ΤΠΕ, το Εθνικό Κέντρο Τεκμηρίωσης και Ηλεκτρονικού Περιεχομένου (ΕΚΤ) συμμετείχε στη BEYOND Expo 2026, τη διεθνή έκθεση τεχνολογίας και καινοτομίας που πραγματοποιήθηκε από τις 17 έως τις 19 Ιουνίου στο Metropolitan Expo.</w:t>
      </w:r>
    </w:p>
    <w:p w14:paraId="6263958E" w14:textId="1ABC90E3" w:rsidR="00DC769D" w:rsidRPr="00FD01B0" w:rsidRDefault="00DC769D" w:rsidP="00FD01B0">
      <w:pPr>
        <w:spacing w:after="120" w:line="240" w:lineRule="auto"/>
        <w:jc w:val="both"/>
        <w:rPr>
          <w:rFonts w:cstheme="minorHAnsi"/>
          <w:bCs/>
          <w:lang w:val="el-GR"/>
        </w:rPr>
      </w:pPr>
      <w:r w:rsidRPr="00FD01B0">
        <w:rPr>
          <w:rFonts w:cstheme="minorHAnsi"/>
          <w:bCs/>
          <w:lang w:val="el-GR"/>
        </w:rPr>
        <w:t>Καθ’ όλη τη διάρκεια της διοργάνωσης, το ΕΚΤ συμμετείχε στο περίπτερο του Υπουργείου Ψηφιακής Διακυβέρνησης, παρουσιάζοντας ψηφιακές υπηρεσίες, δράσεις υποστήριξης της καινοτομίας και πρωτοβουλίες για την ενίσχυση της ανταγωνιστικότητας και της εξωστρέφειας του ελληνικού οικοσυστήματος.</w:t>
      </w:r>
    </w:p>
    <w:p w14:paraId="32A4E894" w14:textId="0603C896" w:rsidR="00577527" w:rsidRPr="00FD01B0" w:rsidRDefault="00DC769D" w:rsidP="00FD01B0">
      <w:pPr>
        <w:spacing w:after="120" w:line="240" w:lineRule="auto"/>
        <w:jc w:val="both"/>
        <w:rPr>
          <w:rFonts w:cstheme="minorHAnsi"/>
          <w:bCs/>
          <w:lang w:val="el-GR"/>
        </w:rPr>
      </w:pPr>
      <w:r w:rsidRPr="00FD01B0">
        <w:rPr>
          <w:rFonts w:cstheme="minorHAnsi"/>
          <w:bCs/>
          <w:lang w:val="el-GR"/>
        </w:rPr>
        <w:t>Το stand του ΕΚΤ επισκέφθηκαν, μεταξύ άλλων, ο Υπουργός Ψηφιακής Διακυβέρνησης και Τεχνητής Νοημοσύνης Δημήτρης Παπαστεργίου, ο Υφυπουργός Χρήστος Δερμεντζόπουλος, καθώς και εκπρόσωποι πανεπιστημίων, ερευνητικών οργανισμών, επιχειρήσεων και φορέων του οικοσυστήματος καινοτομίας.</w:t>
      </w:r>
    </w:p>
    <w:p w14:paraId="3A17FB88" w14:textId="08040920" w:rsidR="00DC769D" w:rsidRPr="00FD01B0" w:rsidRDefault="00DC769D" w:rsidP="00FD01B0">
      <w:pPr>
        <w:spacing w:after="120" w:line="240" w:lineRule="auto"/>
        <w:jc w:val="both"/>
        <w:rPr>
          <w:rFonts w:cstheme="minorHAnsi"/>
          <w:bCs/>
          <w:lang w:val="el-GR"/>
        </w:rPr>
      </w:pPr>
      <w:r w:rsidRPr="00FD01B0">
        <w:rPr>
          <w:rFonts w:cstheme="minorHAnsi"/>
          <w:bCs/>
          <w:lang w:val="el-GR"/>
        </w:rPr>
        <w:t>Η φετινή συμμετοχή του ΕΚΤ στη BEYOND αποτέλεσε ορόσημο, καθώς συνδύασε την παρουσίαση νέων ψηφιακών υπηρεσιών και πλατφορμών</w:t>
      </w:r>
      <w:r w:rsidR="00C72D1D">
        <w:rPr>
          <w:rFonts w:cstheme="minorHAnsi"/>
          <w:bCs/>
          <w:lang w:val="el-GR"/>
        </w:rPr>
        <w:t>,</w:t>
      </w:r>
      <w:r w:rsidRPr="00FD01B0">
        <w:rPr>
          <w:rFonts w:cstheme="minorHAnsi"/>
          <w:bCs/>
          <w:lang w:val="el-GR"/>
        </w:rPr>
        <w:t xml:space="preserve"> με την υπογραφή Μνημονίων Συνεργασίας με τον Σύνδεσμο Επιχειρήσεων Πληροφορικής &amp; Επικοινωνιών Ελλάδας (ΣΕΠΕ), τον Σύνδεσμο Εταιρειών Τεχνολογιών Πληροφορικής και Επικοινωνιών Ελλάδας (ΣΕΤΠΕ) και τον Σύνδεσμο Επιχειρήσεων Καινοτόμων Εφαρμογών Ελλάδας (ΣΕΚΕΕ).</w:t>
      </w:r>
    </w:p>
    <w:p w14:paraId="45196214" w14:textId="77777777" w:rsidR="00DC769D" w:rsidRPr="00FD01B0" w:rsidRDefault="00DC769D" w:rsidP="00FD01B0">
      <w:pPr>
        <w:spacing w:after="120" w:line="240" w:lineRule="auto"/>
        <w:jc w:val="both"/>
        <w:rPr>
          <w:rFonts w:cstheme="minorHAnsi"/>
          <w:bCs/>
          <w:lang w:val="el-GR"/>
        </w:rPr>
      </w:pPr>
      <w:r w:rsidRPr="00FD01B0">
        <w:rPr>
          <w:rFonts w:cstheme="minorHAnsi"/>
          <w:bCs/>
          <w:lang w:val="el-GR"/>
        </w:rPr>
        <w:t>Παράλληλα, το ΕΚΤ ανέπτυξε ενεργή παρουσία στις συνεδριακές δράσεις της BEYOND Expo, μέσα από θεματικές συζητήσεις, παρουσιάσεις, εργαστήρια και δράσεις συνεργασίας για την ενίσχυση της επιχειρηματικότητας και της διεθνοποίησης των επιχειρήσεων.</w:t>
      </w:r>
    </w:p>
    <w:p w14:paraId="663F6541" w14:textId="1FDFC468" w:rsidR="00DC769D" w:rsidRPr="00C72D1D" w:rsidRDefault="00DC769D" w:rsidP="00FD01B0">
      <w:pPr>
        <w:spacing w:after="120" w:line="240" w:lineRule="auto"/>
        <w:jc w:val="both"/>
        <w:rPr>
          <w:rFonts w:cstheme="minorHAnsi"/>
          <w:b/>
          <w:bCs/>
          <w:lang w:val="el-GR"/>
        </w:rPr>
      </w:pPr>
      <w:r w:rsidRPr="00C72D1D">
        <w:rPr>
          <w:rFonts w:cstheme="minorHAnsi"/>
          <w:b/>
          <w:bCs/>
          <w:lang w:val="el-GR"/>
        </w:rPr>
        <w:t>Νέες στρατηγικές συνεργασίες με συνδέσμους επιχειρήσεων</w:t>
      </w:r>
    </w:p>
    <w:p w14:paraId="40B7B1E9" w14:textId="6D5A2A18" w:rsidR="00DC769D" w:rsidRPr="00FD01B0" w:rsidRDefault="00DC769D" w:rsidP="00FD01B0">
      <w:pPr>
        <w:spacing w:after="120" w:line="240" w:lineRule="auto"/>
        <w:jc w:val="both"/>
        <w:rPr>
          <w:rFonts w:cstheme="minorHAnsi"/>
          <w:bCs/>
          <w:lang w:val="el-GR"/>
        </w:rPr>
      </w:pPr>
      <w:r w:rsidRPr="00FD01B0">
        <w:rPr>
          <w:rFonts w:cstheme="minorHAnsi"/>
          <w:bCs/>
          <w:lang w:val="el-GR"/>
        </w:rPr>
        <w:t>Τα Μνημόνια Συνεργασίας με τον ΣΕΠΕ, τον ΣΕΤΠΕ και τον ΣΕΚΕΕ διαμορφώνουν ένα πλαίσιο κοινών δράσεων για την ενίσχυση της εξωστρέφειας, της καινοτομίας και του ψηφιακού μετασχηματισμού των ελληνικών επιχειρήσεων, αξιοποιώντας τη συμπληρωματική τεχνογνωσία των φορέων και τη διασύνδεση της έρευνας με την επιχειρηματικότητα.</w:t>
      </w:r>
    </w:p>
    <w:p w14:paraId="1086C791" w14:textId="74EA740C" w:rsidR="00DC769D" w:rsidRPr="00FD01B0" w:rsidRDefault="00DC769D" w:rsidP="00FD01B0">
      <w:pPr>
        <w:spacing w:after="120" w:line="240" w:lineRule="auto"/>
        <w:jc w:val="both"/>
        <w:rPr>
          <w:rFonts w:cstheme="minorHAnsi"/>
          <w:bCs/>
          <w:lang w:val="el-GR"/>
        </w:rPr>
      </w:pPr>
      <w:r w:rsidRPr="00FD01B0">
        <w:rPr>
          <w:rFonts w:cstheme="minorHAnsi"/>
          <w:bCs/>
          <w:lang w:val="el-GR"/>
        </w:rPr>
        <w:t>Μέσα από τις συνεργασίες αυτές, το ΕΚΤ, ως συντονιστής του Enterprise Europe Network Hellas, επιδιώκει να διευρύνει το δίκτυο των επιχειρήσεων που μπορούν να αξιοποιήσουν υπηρεσίες δικτύωσης, συμβουλευτικής υποστήριξης, ενημέρωσης για ευρωπαϊκά χρηματοδοτικά εργαλεία και διασύνδεσης με ευκαιρίες καινοτομίας σε ευρωπαϊκό και διεθνές επίπεδο.</w:t>
      </w:r>
    </w:p>
    <w:p w14:paraId="5A32C5DB" w14:textId="1DA2B4F5" w:rsidR="00DC769D" w:rsidRPr="00FD01B0" w:rsidRDefault="00DC769D" w:rsidP="00FD01B0">
      <w:pPr>
        <w:spacing w:after="120" w:line="240" w:lineRule="auto"/>
        <w:jc w:val="both"/>
        <w:rPr>
          <w:rFonts w:cstheme="minorHAnsi"/>
          <w:bCs/>
          <w:lang w:val="el-GR"/>
        </w:rPr>
      </w:pPr>
      <w:r w:rsidRPr="00FD01B0">
        <w:rPr>
          <w:rFonts w:cstheme="minorHAnsi"/>
          <w:bCs/>
          <w:lang w:val="el-GR"/>
        </w:rPr>
        <w:t>Τα Μνημόνια Συνεργασίας υπέγραψε ο Διευθυντής του ΕΚΤ, Δρ Κυριάκος Τολιάς, με τη Γιώτα Παπαρίδου, Πρόεδρο Δ.Σ. του ΣΕΠΕ, τον Αναστάσιο Μάνο, Πρόεδρο Δ.Σ. του ΣΕΤΠΕ, και τον Μάνο Μακρομάλλη, Πρόεδρο Δ.Σ. του ΣΕΚΕΕ.</w:t>
      </w:r>
    </w:p>
    <w:p w14:paraId="2699A174" w14:textId="77777777" w:rsidR="00DC769D" w:rsidRPr="00C72D1D" w:rsidRDefault="00DC769D" w:rsidP="00FD01B0">
      <w:pPr>
        <w:spacing w:after="120" w:line="240" w:lineRule="auto"/>
        <w:jc w:val="both"/>
        <w:rPr>
          <w:rFonts w:cstheme="minorHAnsi"/>
          <w:bCs/>
          <w:i/>
          <w:lang w:val="el-GR"/>
        </w:rPr>
      </w:pPr>
      <w:r w:rsidRPr="00FD01B0">
        <w:rPr>
          <w:rFonts w:cstheme="minorHAnsi"/>
          <w:bCs/>
          <w:lang w:val="el-GR"/>
        </w:rPr>
        <w:t xml:space="preserve">Ο Διευθυντής του ΕΚΤ, Δρ Κυριάκος Τολιάς, δήλωσε για τις συνεργασίες: </w:t>
      </w:r>
      <w:r w:rsidRPr="00C72D1D">
        <w:rPr>
          <w:rFonts w:cstheme="minorHAnsi"/>
          <w:bCs/>
          <w:i/>
          <w:lang w:val="el-GR"/>
        </w:rPr>
        <w:t xml:space="preserve">«Τα Μνημόνια Συνεργασίας μεταξύ του ΕΚΤ και των ΣΕΠΕ, ΣΕΤΠΕ και ΣΕΚΕΕ διαμορφώνουν ένα ουσιαστικό πλαίσιο κοινών δράσεων για την ενίσχυση της καινοτομίας, της εξωστρέφειας και του ψηφιακού μετασχηματισμού των </w:t>
      </w:r>
      <w:r w:rsidRPr="00C72D1D">
        <w:rPr>
          <w:rFonts w:cstheme="minorHAnsi"/>
          <w:bCs/>
          <w:i/>
          <w:lang w:val="el-GR"/>
        </w:rPr>
        <w:lastRenderedPageBreak/>
        <w:t>επιχειρήσεων. Ως συντονιστής του Enterprise Europe Network Hellas, του μεγαλύτερου δικτύου υποστήριξης μικρομεσαίων επιχειρήσεων, το ΕΚΤ επιδιώκει να διευρύνει το δίκτυο των ελληνικών επιχειρήσεων που μπορούν να αξιοποιήσουν τις υπηρεσίες του. Ιδιαίτερη έμφαση δίνουμε στην ενημέρωση των επιχειρήσεων για ευρωπαϊκά χρηματοδοτικά εργαλεία, στην υποστήριξή τους για την καλύτερη προετοιμασία προτάσεων, καθώς και στη διασύνδεσή τους με την έρευνα και τις ευκαιρίες καινοτομίας. Αξιοποιώντας ποιοτικά δεδομένα, τεχνογνωσία και διεθνείς διασυνδέσεις, επιδιώκουμε να αναπτύξουμε στοχευμένες πρωτοβουλίες δικτύωσης, συμβουλευτικής υποστήριξης και ανάπτυξης δεξιοτήτων, συμβάλλοντας σε ένα πιο δυναμικό και ανταγωνιστικό οικοσύστημα ΤΠΕ».</w:t>
      </w:r>
    </w:p>
    <w:p w14:paraId="4713D8E8" w14:textId="176DAA11" w:rsidR="00DC769D" w:rsidRPr="00C72D1D" w:rsidRDefault="00DC769D" w:rsidP="00FD01B0">
      <w:pPr>
        <w:spacing w:after="120" w:line="240" w:lineRule="auto"/>
        <w:jc w:val="both"/>
        <w:rPr>
          <w:rFonts w:cstheme="minorHAnsi"/>
          <w:b/>
          <w:bCs/>
          <w:lang w:val="el-GR"/>
        </w:rPr>
      </w:pPr>
      <w:r w:rsidRPr="00C72D1D">
        <w:rPr>
          <w:rFonts w:cstheme="minorHAnsi"/>
          <w:b/>
          <w:bCs/>
          <w:lang w:val="el-GR"/>
        </w:rPr>
        <w:t>Η Τεχνητή Νοημοσύνη ως πρόκληση και ευκαιρία για τον κλάδο ΤΠΕ</w:t>
      </w:r>
    </w:p>
    <w:p w14:paraId="275A91E8" w14:textId="6E892C14" w:rsidR="00DC769D" w:rsidRPr="00FD01B0" w:rsidRDefault="00DC769D" w:rsidP="00FD01B0">
      <w:pPr>
        <w:spacing w:after="120" w:line="240" w:lineRule="auto"/>
        <w:jc w:val="both"/>
        <w:rPr>
          <w:rFonts w:cstheme="minorHAnsi"/>
          <w:bCs/>
          <w:lang w:val="el-GR"/>
        </w:rPr>
      </w:pPr>
      <w:r w:rsidRPr="00FD01B0">
        <w:rPr>
          <w:rFonts w:cstheme="minorHAnsi"/>
          <w:bCs/>
          <w:lang w:val="el-GR"/>
        </w:rPr>
        <w:t>Ο Διευθυντής του ΕΚΤ, Δρ Κυριάκος Τολιάς, συμμετείχε στην εκδήλωση του Συνδέσμου Εταιρειών Τεχνολογιών Πληροφορικής και Επικοινωνιών Ελλάδας (ΣΕΤΠΕ), με θέμα «Ανάπτυξη με Τεχνητή Νοημοσύνη. Ευκαιρίες, κίνδυνοι και ο δρόμος των ελληνικών εταιρειών πληροφορικής». Στην παρέμβασή του, παρουσίασε τις δράσεις του ΕΚΤ και τον ρόλο των δεδομένων στην εποχή της Τεχνητής Νοημοσύνης, καθώς και τις ευκαιρίες και προκλήσεις που διαμορφώνονται για το ελληνικό οικοσύστημα καινοτομίας και επιχειρηματικότητας.</w:t>
      </w:r>
    </w:p>
    <w:p w14:paraId="7985B4C8" w14:textId="043EF150" w:rsidR="00DC769D" w:rsidRPr="00FD01B0" w:rsidRDefault="00DC769D" w:rsidP="00FD01B0">
      <w:pPr>
        <w:spacing w:after="120" w:line="240" w:lineRule="auto"/>
        <w:jc w:val="both"/>
        <w:rPr>
          <w:rFonts w:cstheme="minorHAnsi"/>
          <w:bCs/>
          <w:lang w:val="el-GR"/>
        </w:rPr>
      </w:pPr>
      <w:r w:rsidRPr="00FD01B0">
        <w:rPr>
          <w:rFonts w:cstheme="minorHAnsi"/>
          <w:bCs/>
          <w:lang w:val="el-GR"/>
        </w:rPr>
        <w:t>Στην εκδήλωση συμμετείχαν επίσης ο Νικόλαος Τζόλας, Αντιπεριφερειάρχης Ψηφιακής Διακυβέρνησης της Περιφέρειας Κεντρικής Μακεδονίας, ο Γιώργος Λεκάκος, Καθηγητής του Οικονομικού Πανεπιστημίου Αθηνών, ο Δρ Χρήστος Καλλονιάτης, Μέλος του Δ.Σ. της Αρχής Προστασίας Δεδομένων Προσωπικού Χαρακτήρα, και ο Αναστάσιος Μάνος, Πρόεδρος Δ.Σ. του ΣΕΤΠΕ.</w:t>
      </w:r>
    </w:p>
    <w:p w14:paraId="0E9BB61A" w14:textId="7DBC300C" w:rsidR="00DC769D" w:rsidRPr="00FD01B0" w:rsidRDefault="00DC769D" w:rsidP="00FD01B0">
      <w:pPr>
        <w:spacing w:after="120" w:line="240" w:lineRule="auto"/>
        <w:jc w:val="both"/>
        <w:rPr>
          <w:rFonts w:cstheme="minorHAnsi"/>
          <w:bCs/>
          <w:lang w:val="el-GR"/>
        </w:rPr>
      </w:pPr>
      <w:r w:rsidRPr="00FD01B0">
        <w:rPr>
          <w:rFonts w:cstheme="minorHAnsi"/>
          <w:bCs/>
          <w:lang w:val="el-GR"/>
        </w:rPr>
        <w:t>Στο πάνελ, το οποίο συντόνισε ο δημοσιογράφος Βαγγέλης Λιακόγκονας, αναδείχθηκε το πώς η Ελλάδα μπορεί να αξιοποιήσει την Τεχνητή Νοημοσύνη ως μοχλό ανάπτυξης, καινοτομίας και διεθνούς ανταγωνιστικότητας. Στο ίδιο πλαίσιο, επισημάνθηκε η σημασία των αξιόπιστων δεδομένων, της τεκμηρίωσης και της συνεργασίας ανάμεσα στην έρευνα, τις επιχειρήσεις και τους δημόσιους φορείς, ώστε η Τεχνητή Νοημοσύνη να μετατραπεί σε ουσιαστική ευκαιρία για τον ελληνικό κλάδο ΤΠΕ.</w:t>
      </w:r>
    </w:p>
    <w:p w14:paraId="40318241" w14:textId="77777777" w:rsidR="00DC769D" w:rsidRPr="00C72D1D" w:rsidRDefault="00DC769D" w:rsidP="00FD01B0">
      <w:pPr>
        <w:spacing w:after="120" w:line="240" w:lineRule="auto"/>
        <w:jc w:val="both"/>
        <w:rPr>
          <w:rFonts w:cstheme="minorHAnsi"/>
          <w:b/>
          <w:bCs/>
          <w:lang w:val="el-GR"/>
        </w:rPr>
      </w:pPr>
      <w:r w:rsidRPr="00C72D1D">
        <w:rPr>
          <w:rFonts w:cstheme="minorHAnsi"/>
          <w:b/>
          <w:bCs/>
          <w:lang w:val="el-GR"/>
        </w:rPr>
        <w:t>Από το διαμοιρασμό δεδομένων στη δημόσια αξία</w:t>
      </w:r>
    </w:p>
    <w:p w14:paraId="59EA299E" w14:textId="42D3535A" w:rsidR="00DC769D" w:rsidRPr="00FD01B0" w:rsidRDefault="00DC769D" w:rsidP="00FD01B0">
      <w:pPr>
        <w:spacing w:after="120" w:line="240" w:lineRule="auto"/>
        <w:jc w:val="both"/>
        <w:rPr>
          <w:rFonts w:cstheme="minorHAnsi"/>
          <w:bCs/>
          <w:lang w:val="el-GR"/>
        </w:rPr>
      </w:pPr>
      <w:r w:rsidRPr="00FD01B0">
        <w:rPr>
          <w:rFonts w:cstheme="minorHAnsi"/>
          <w:bCs/>
          <w:lang w:val="el-GR"/>
        </w:rPr>
        <w:t>Στο πλαίσιο της BEYOND 2026, ο Δρ Γρηγόριος Παινέσης, αναλυτής πολιτικών και δεδομένων στο ΕΚΤ, παρουσίασε την ομιλία με τίτλο «Από το διαμοιρασμό δεδομένων στη δημόσια αξία: Το νέο οικοσύστημα δεδομένων του ΕΚΤ».</w:t>
      </w:r>
    </w:p>
    <w:p w14:paraId="77472681" w14:textId="70C0B036" w:rsidR="00DC769D" w:rsidRPr="00FD01B0" w:rsidRDefault="00DC769D" w:rsidP="00FD01B0">
      <w:pPr>
        <w:spacing w:after="120" w:line="240" w:lineRule="auto"/>
        <w:jc w:val="both"/>
        <w:rPr>
          <w:rFonts w:cstheme="minorHAnsi"/>
          <w:bCs/>
          <w:lang w:val="el-GR"/>
        </w:rPr>
      </w:pPr>
      <w:r w:rsidRPr="00FD01B0">
        <w:rPr>
          <w:rFonts w:cstheme="minorHAnsi"/>
          <w:bCs/>
          <w:lang w:val="el-GR"/>
        </w:rPr>
        <w:t>Η παρουσίαση ανέδειξε την ανάγκη μετάβασης από την απλή διάθεση δημόσιων δεδομένων σε ολοκληρωμένες, διαδραστικές και προσαρμοσμένες στις ανάγκες διαφορετικών χρηστών υπηρεσίες δημόσιας πληροφόρησης, τεκμηρίωσης, ανάλυσης και επαναχρησιμοποίησης δεδομένων.</w:t>
      </w:r>
    </w:p>
    <w:p w14:paraId="283865FA" w14:textId="153BB4F0" w:rsidR="00DC769D" w:rsidRPr="00FD01B0" w:rsidRDefault="00DC769D" w:rsidP="00FD01B0">
      <w:pPr>
        <w:spacing w:after="120" w:line="240" w:lineRule="auto"/>
        <w:jc w:val="both"/>
        <w:rPr>
          <w:rFonts w:cstheme="minorHAnsi"/>
          <w:bCs/>
          <w:lang w:val="el-GR"/>
        </w:rPr>
      </w:pPr>
      <w:r w:rsidRPr="00FD01B0">
        <w:rPr>
          <w:rFonts w:cstheme="minorHAnsi"/>
          <w:bCs/>
          <w:lang w:val="el-GR"/>
        </w:rPr>
        <w:t>Αξιοποιώντας τον θεσμικό του ρόλο, τις στατιστικές του υποδομές και την τεχνογνωσία του στη διαχείριση δεδομένων, το ΕΚΤ διαμορφώνει ένα περιβάλλον όπου τα δεδομένα λειτουργούν ως δυναμικά εργαλεία γνώσης, παρακολούθησης, κατανόησης και λήψης αποφάσεων.</w:t>
      </w:r>
    </w:p>
    <w:p w14:paraId="2CC69A43" w14:textId="1868857A" w:rsidR="00DC769D" w:rsidRPr="00FD01B0" w:rsidRDefault="00DC769D" w:rsidP="00FD01B0">
      <w:pPr>
        <w:spacing w:after="120" w:line="240" w:lineRule="auto"/>
        <w:jc w:val="both"/>
        <w:rPr>
          <w:rFonts w:cstheme="minorHAnsi"/>
          <w:bCs/>
          <w:lang w:val="el-GR"/>
        </w:rPr>
      </w:pPr>
      <w:r w:rsidRPr="00FD01B0">
        <w:rPr>
          <w:rFonts w:cstheme="minorHAnsi"/>
          <w:bCs/>
          <w:lang w:val="el-GR"/>
        </w:rPr>
        <w:t>Ιδιαίτερη έμφαση δόθηκε στις νέες ψηφιακές υπηρεσίες και πλατφόρμες του ΕΚΤ, όπως το DataHUB, το data.ekt.gr και το υπό διαμόρφωση Data Marketplace, καθώς και σε εφαρμογές πολιτικής υψηλής αξίας, όπως το Παρατηρητήριο Δεικτών Ψηφιακής Μετάβασης, ο Εθνικός Χάρτης Δεδομένων ESG και οι υπηρεσίες δεδομένων για την παρακολούθηση και αποτίμηση κρίσιμων πεδίων δημόσιας πολιτικής.</w:t>
      </w:r>
    </w:p>
    <w:p w14:paraId="00F26D08" w14:textId="40CCBFB1" w:rsidR="00DC769D" w:rsidRPr="00FD01B0" w:rsidRDefault="00DC769D" w:rsidP="00FD01B0">
      <w:pPr>
        <w:spacing w:after="120" w:line="240" w:lineRule="auto"/>
        <w:jc w:val="both"/>
        <w:rPr>
          <w:rFonts w:cstheme="minorHAnsi"/>
          <w:bCs/>
          <w:lang w:val="el-GR"/>
        </w:rPr>
      </w:pPr>
      <w:r w:rsidRPr="00FD01B0">
        <w:rPr>
          <w:rFonts w:cstheme="minorHAnsi"/>
          <w:bCs/>
          <w:lang w:val="el-GR"/>
        </w:rPr>
        <w:t>Μέσα από τις παρεμβάσεις αυτές, το ΕΚΤ συμβάλλει στη δημιουργία αξιόπιστων, τεκμηριωμένων και επαναχρησιμοποιήσιμων υποδομών δεδομένων, ενισχύοντας τη διαφάνεια, τη συγκρισιμότητα, τη θεσμική συνέχεια και τη μετάβαση σε ένα πιο ώριμο μοντέλο data-informed policy making.</w:t>
      </w:r>
    </w:p>
    <w:p w14:paraId="0B5621B1" w14:textId="72216740" w:rsidR="00DC769D" w:rsidRPr="00FD01B0" w:rsidRDefault="00DC769D" w:rsidP="00FD01B0">
      <w:pPr>
        <w:spacing w:after="120" w:line="240" w:lineRule="auto"/>
        <w:jc w:val="both"/>
        <w:rPr>
          <w:rFonts w:cstheme="minorHAnsi"/>
          <w:bCs/>
          <w:lang w:val="el-GR"/>
        </w:rPr>
      </w:pPr>
      <w:r w:rsidRPr="00FD01B0">
        <w:rPr>
          <w:rFonts w:cstheme="minorHAnsi"/>
          <w:bCs/>
          <w:lang w:val="el-GR"/>
        </w:rPr>
        <w:t xml:space="preserve">Επίσης, στο πλαίσιο των συνεδριακών και θεματικών δράσεων της BEYOND 2026, ο Δρ Νίκος Καραμπέκιος, Προϊστάμενος Τμήματος Αμυντικής Καινοτομίας ΕΚΤ, συμμετείχε ως εμπειρογνώμονας </w:t>
      </w:r>
      <w:r w:rsidRPr="00FD01B0">
        <w:rPr>
          <w:rFonts w:cstheme="minorHAnsi"/>
          <w:bCs/>
          <w:lang w:val="el-GR"/>
        </w:rPr>
        <w:lastRenderedPageBreak/>
        <w:t>σε εργαστήριο του Οργανισμού Βιομηχανικής Ιδιοκτησίας (ΟΒΙ), με αντικείμενο την τεχνολογική προοπτική διερεύνηση και τον σχεδιασμό ανθεκτικών τεχνολογικών λύσεων απέναντι στις προκλήσεις της κλιματικής αλλαγής.</w:t>
      </w:r>
    </w:p>
    <w:p w14:paraId="67AC38A7" w14:textId="233E6450" w:rsidR="00DC769D" w:rsidRPr="00C72D1D" w:rsidRDefault="00DC769D" w:rsidP="00FD01B0">
      <w:pPr>
        <w:spacing w:after="120" w:line="240" w:lineRule="auto"/>
        <w:jc w:val="both"/>
        <w:rPr>
          <w:rFonts w:cstheme="minorHAnsi"/>
          <w:b/>
          <w:bCs/>
          <w:lang w:val="el-GR"/>
        </w:rPr>
      </w:pPr>
      <w:r w:rsidRPr="00C72D1D">
        <w:rPr>
          <w:rFonts w:cstheme="minorHAnsi"/>
          <w:b/>
          <w:bCs/>
          <w:lang w:val="el-GR"/>
        </w:rPr>
        <w:t>Το 3ο «Δωμάτιο Συνεργασίας» για την Τεχνητή Νοημοσύνη</w:t>
      </w:r>
    </w:p>
    <w:p w14:paraId="6C286B16" w14:textId="334F42B3" w:rsidR="00DC769D" w:rsidRPr="00FD01B0" w:rsidRDefault="00DC769D" w:rsidP="00FD01B0">
      <w:pPr>
        <w:spacing w:after="120" w:line="240" w:lineRule="auto"/>
        <w:jc w:val="both"/>
        <w:rPr>
          <w:rFonts w:cstheme="minorHAnsi"/>
          <w:bCs/>
          <w:lang w:val="el-GR"/>
        </w:rPr>
      </w:pPr>
      <w:r w:rsidRPr="00FD01B0">
        <w:rPr>
          <w:rFonts w:cstheme="minorHAnsi"/>
          <w:bCs/>
          <w:lang w:val="el-GR"/>
        </w:rPr>
        <w:t>Ιδιαίτερα επιτυχημένη ήταν η διοργάνωση του 3ου «Δωματίου Συνεργασίας», δράση που συγκέντρωσε 38 επιχειρήσεις, ερευνητικά εργαστήρια και οργανισμούς από την Ελλάδα και την Κύπρο. Οι συμμετέχοντες έλαβαν μέρος σε 4 θεματικές συζητήσεις για την Τεχνητή Νοημοσύνη στους τομείς της υγείας, της κυβερνοασφάλειας, των ψηφιακών υποδομών, της παραγωγής, των μικρομεσαίων επιχειρήσεων και της βιώσιμης ανάπτυξης.</w:t>
      </w:r>
    </w:p>
    <w:p w14:paraId="71C99D14" w14:textId="306F4D5C" w:rsidR="00DC769D" w:rsidRPr="00FD01B0" w:rsidRDefault="00DC769D" w:rsidP="00FD01B0">
      <w:pPr>
        <w:spacing w:after="120" w:line="240" w:lineRule="auto"/>
        <w:jc w:val="both"/>
        <w:rPr>
          <w:rFonts w:cstheme="minorHAnsi"/>
          <w:bCs/>
          <w:lang w:val="el-GR"/>
        </w:rPr>
      </w:pPr>
      <w:r w:rsidRPr="00FD01B0">
        <w:rPr>
          <w:rFonts w:cstheme="minorHAnsi"/>
          <w:bCs/>
          <w:lang w:val="el-GR"/>
        </w:rPr>
        <w:t>Μέσα από τη διαδικασία ανταλλάχθηκαν εμπειρίες, καταγράφηκαν ανάγκες της αγοράς και δημιουργήθηκαν οι προϋποθέσεις για συνεργασίες και συμπράξεις, με προοπτική την υποβολή προτάσεων σε ευρωπαϊκά χρηματοδοτικά προγράμματα.</w:t>
      </w:r>
    </w:p>
    <w:p w14:paraId="5E9C0ACA" w14:textId="77777777" w:rsidR="00DC769D" w:rsidRPr="00FD01B0" w:rsidRDefault="00DC769D" w:rsidP="00FD01B0">
      <w:pPr>
        <w:spacing w:after="120" w:line="240" w:lineRule="auto"/>
        <w:jc w:val="both"/>
        <w:rPr>
          <w:rFonts w:cstheme="minorHAnsi"/>
          <w:bCs/>
          <w:lang w:val="el-GR"/>
        </w:rPr>
      </w:pPr>
      <w:r w:rsidRPr="00FD01B0">
        <w:rPr>
          <w:rFonts w:cstheme="minorHAnsi"/>
          <w:bCs/>
          <w:lang w:val="el-GR"/>
        </w:rPr>
        <w:t>Η δράση συνδιοργανώθηκε από το ΕΚΤ, ως συντονιστή του Enterprise Europe Network Hellas, το Παρατηρητήριο Καινοτόμου Επιχειρηματικότητας της Περιφέρειας Κρήτης, το Εμπορικό και Βιομηχανικό Επιμελητήριο Αθηνών και το Cyprus Chamber of Commerce and Industry.</w:t>
      </w:r>
    </w:p>
    <w:p w14:paraId="21D6E5D6" w14:textId="637C52C8" w:rsidR="00DC769D" w:rsidRPr="00FD01B0" w:rsidRDefault="00DC769D" w:rsidP="00FD01B0">
      <w:pPr>
        <w:spacing w:after="120" w:line="240" w:lineRule="auto"/>
        <w:jc w:val="both"/>
        <w:rPr>
          <w:rFonts w:cstheme="minorHAnsi"/>
          <w:bCs/>
          <w:lang w:val="el-GR"/>
        </w:rPr>
      </w:pPr>
      <w:r w:rsidRPr="00FD01B0">
        <w:rPr>
          <w:rFonts w:cstheme="minorHAnsi"/>
          <w:bCs/>
          <w:lang w:val="el-GR"/>
        </w:rPr>
        <w:t>Την εισαγωγική ομιλία πριν τις θεματικές συζητήσεις πραγματοποίησε η Αναστασία Σαρχόσογλου, συντονίστρια του Enterprise Europe Network Hellas στο ΕΚΤ. Δύο από τις θεματικές συζητήσεις συντόνισαν και κατέγραψαν ανάγκες των επιχειρήσεων και οργανισμών, η Γαρυφαλλιά Ταμπάκη, η Ζωή Ατσιπουλιανάκη, η Εύη Ντζουμανίκα και ο Οδυσσέας Κυριακός, σύμβουλοι καινοτομίας EEN Hellas και Εθνικά Σημεία Επαφής στον Ορίζοντα Ευρώπη, από το ΕΚΤ.</w:t>
      </w:r>
    </w:p>
    <w:p w14:paraId="283757D4" w14:textId="0EE0A102" w:rsidR="00DC769D" w:rsidRPr="00C72D1D" w:rsidRDefault="00DC769D" w:rsidP="00FD01B0">
      <w:pPr>
        <w:spacing w:after="120" w:line="240" w:lineRule="auto"/>
        <w:jc w:val="both"/>
        <w:rPr>
          <w:rFonts w:cstheme="minorHAnsi"/>
          <w:b/>
          <w:bCs/>
          <w:lang w:val="el-GR"/>
        </w:rPr>
      </w:pPr>
      <w:r w:rsidRPr="00C72D1D">
        <w:rPr>
          <w:rFonts w:cstheme="minorHAnsi"/>
          <w:b/>
          <w:bCs/>
          <w:lang w:val="el-GR"/>
        </w:rPr>
        <w:t>Ένα ισχυρό αποτύπωμα για την καινοτομία</w:t>
      </w:r>
    </w:p>
    <w:p w14:paraId="6E3DFDFE" w14:textId="74FED962" w:rsidR="00DC769D" w:rsidRPr="00FD01B0" w:rsidRDefault="00DC769D" w:rsidP="00FD01B0">
      <w:pPr>
        <w:spacing w:after="120" w:line="240" w:lineRule="auto"/>
        <w:jc w:val="both"/>
        <w:rPr>
          <w:rFonts w:cstheme="minorHAnsi"/>
          <w:bCs/>
          <w:lang w:val="el-GR"/>
        </w:rPr>
      </w:pPr>
      <w:r w:rsidRPr="00FD01B0">
        <w:rPr>
          <w:rFonts w:cstheme="minorHAnsi"/>
          <w:bCs/>
          <w:lang w:val="el-GR"/>
        </w:rPr>
        <w:t>Η συμμετοχή του ΕΚΤ στη BEYOND Expo 2026 ανέδειξε τον πολυδιάστατο ρόλο του ως εθνικού φορέα που συνδέει την έρευνα με την επιχειρηματικότητα, προωθεί την αξιοποίηση των δεδομένων και υποστηρίζει την καινοτομία και τον ψηφιακό μετασχηματισμό.</w:t>
      </w:r>
    </w:p>
    <w:p w14:paraId="22D1B97D" w14:textId="40AC58DF" w:rsidR="00DC769D" w:rsidRPr="00FD01B0" w:rsidRDefault="00DC769D" w:rsidP="00FD01B0">
      <w:pPr>
        <w:spacing w:after="120" w:line="240" w:lineRule="auto"/>
        <w:jc w:val="both"/>
        <w:rPr>
          <w:rFonts w:cstheme="minorHAnsi"/>
          <w:bCs/>
          <w:lang w:val="el-GR"/>
        </w:rPr>
      </w:pPr>
      <w:r w:rsidRPr="00FD01B0">
        <w:rPr>
          <w:rFonts w:cstheme="minorHAnsi"/>
          <w:bCs/>
          <w:lang w:val="el-GR"/>
        </w:rPr>
        <w:t>Μέσα από νέες συνεργασίες, δράσεις δικτύωσης, παρουσιάσεις υπηρεσιών και συμμετοχή σε θεματικές συζητήσεις, το ΕΚΤ ενίσχυσε την παρουσία του στο ελληνικό και ευρωπαϊκό οικοσύστημα καινοτομίας και δημιούργησε νέες προοπτικές συνεργασίας με επιχειρήσεις, ερευνητικούς οργανισμούς και δημόσιους φορείς.</w:t>
      </w:r>
    </w:p>
    <w:p w14:paraId="3380B78C" w14:textId="62C5B365" w:rsidR="00DC769D" w:rsidRPr="00FD01B0" w:rsidRDefault="00DC769D" w:rsidP="00FD01B0">
      <w:pPr>
        <w:spacing w:after="120" w:line="240" w:lineRule="auto"/>
        <w:jc w:val="both"/>
        <w:rPr>
          <w:rFonts w:cstheme="minorHAnsi"/>
          <w:bCs/>
          <w:lang w:val="el-GR"/>
        </w:rPr>
      </w:pPr>
      <w:r w:rsidRPr="00FD01B0">
        <w:rPr>
          <w:rFonts w:cstheme="minorHAnsi"/>
          <w:bCs/>
          <w:lang w:val="el-GR"/>
        </w:rPr>
        <w:t>Η παρουσία του ΕΚΤ στη BEYOND 2026 αφήνει ένα ουσιαστικό αποτύπωμα συνεργασιών και δράσεων, δημιουργώντας τη βάση για νέες πρωτοβουλίες που θα ενισχύσουν την καινοτομία, την εξωστρέφεια και τον ψηφιακό μετασχηματισμό της χώρας, με την αξιοποίηση των υπηρεσιών, της τεχνογνωσίας και των διεθνών διασυνδέσεων του Enterprise Europe Network Hellas.</w:t>
      </w:r>
    </w:p>
    <w:p w14:paraId="0BE82266" w14:textId="77777777" w:rsidR="00DC769D" w:rsidRDefault="00DC769D" w:rsidP="00DC769D">
      <w:pPr>
        <w:pStyle w:val="NormalWeb"/>
        <w:spacing w:before="120" w:beforeAutospacing="0" w:after="120" w:afterAutospacing="0"/>
        <w:jc w:val="both"/>
        <w:rPr>
          <w:rFonts w:asciiTheme="minorHAnsi" w:hAnsiTheme="minorHAnsi" w:cstheme="minorHAnsi"/>
          <w:sz w:val="23"/>
          <w:szCs w:val="23"/>
          <w:lang w:val="el-GR"/>
        </w:rPr>
      </w:pPr>
    </w:p>
    <w:p w14:paraId="2148E5BA" w14:textId="77777777" w:rsidR="004337CB" w:rsidRPr="005521A3" w:rsidRDefault="004337CB" w:rsidP="005521A3">
      <w:pPr>
        <w:spacing w:before="170"/>
        <w:rPr>
          <w:rFonts w:eastAsia="Batang" w:cstheme="majorHAnsi"/>
          <w:color w:val="0563C1" w:themeColor="hyperlink"/>
          <w:u w:val="single"/>
          <w:lang w:val="el-GR" w:eastAsia="el-GR"/>
        </w:rPr>
      </w:pPr>
      <w:r>
        <w:rPr>
          <w:rFonts w:cstheme="majorHAnsi"/>
          <w:b/>
          <w:color w:val="262626" w:themeColor="text1" w:themeTint="D9"/>
          <w:sz w:val="24"/>
          <w:lang w:val="el-GR"/>
        </w:rPr>
        <w:t>Επικοινωνία για δημοσιογράφους</w:t>
      </w:r>
      <w:r>
        <w:rPr>
          <w:rFonts w:cstheme="majorHAnsi"/>
          <w:b/>
          <w:color w:val="262626" w:themeColor="text1" w:themeTint="D9"/>
          <w:sz w:val="24"/>
          <w:lang w:val="el-GR"/>
        </w:rPr>
        <w:br/>
      </w:r>
      <w:r w:rsidRPr="00C562FD">
        <w:rPr>
          <w:rFonts w:cstheme="majorHAnsi"/>
          <w:color w:val="262626" w:themeColor="text1" w:themeTint="D9"/>
          <w:lang w:val="el-GR"/>
        </w:rPr>
        <w:t>Εθνικό Κέντρο Τεκμηρίωσης και Ηλεκτρονικού Περιεχομένου (ΕΚΤ)</w:t>
      </w:r>
      <w:r w:rsidRPr="00C562FD">
        <w:rPr>
          <w:rFonts w:cstheme="majorHAnsi"/>
          <w:color w:val="262626" w:themeColor="text1" w:themeTint="D9"/>
          <w:lang w:val="el-GR"/>
        </w:rPr>
        <w:br/>
        <w:t xml:space="preserve">Τμήμα Επικοινωνίας και Δημοσίων Σχέσεων | Τ: 210 220 4941, </w:t>
      </w:r>
      <w:r w:rsidRPr="00C562FD">
        <w:rPr>
          <w:rFonts w:cstheme="majorHAnsi"/>
          <w:color w:val="262626" w:themeColor="text1" w:themeTint="D9"/>
        </w:rPr>
        <w:t>E</w:t>
      </w:r>
      <w:r w:rsidRPr="00C562FD">
        <w:rPr>
          <w:rFonts w:cstheme="majorHAnsi"/>
          <w:color w:val="262626" w:themeColor="text1" w:themeTint="D9"/>
          <w:lang w:val="el-GR"/>
        </w:rPr>
        <w:t>:</w:t>
      </w:r>
      <w:r w:rsidRPr="00C562FD">
        <w:rPr>
          <w:rFonts w:eastAsia="Batang"/>
          <w:lang w:val="el-GR" w:eastAsia="el-GR"/>
        </w:rPr>
        <w:t xml:space="preserve"> </w:t>
      </w:r>
      <w:hyperlink r:id="rId11" w:history="1">
        <w:r w:rsidRPr="00C562FD">
          <w:rPr>
            <w:rStyle w:val="Hyperlink"/>
            <w:rFonts w:eastAsia="Batang"/>
            <w:lang w:eastAsia="el-GR"/>
          </w:rPr>
          <w:t>communication</w:t>
        </w:r>
        <w:r w:rsidRPr="00C562FD">
          <w:rPr>
            <w:rStyle w:val="Hyperlink"/>
            <w:rFonts w:eastAsia="Batang"/>
            <w:lang w:val="el-GR" w:eastAsia="el-GR"/>
          </w:rPr>
          <w:t>@</w:t>
        </w:r>
        <w:r w:rsidRPr="00C562FD">
          <w:rPr>
            <w:rStyle w:val="Hyperlink"/>
            <w:rFonts w:eastAsia="Batang"/>
            <w:lang w:eastAsia="el-GR"/>
          </w:rPr>
          <w:t>ekt</w:t>
        </w:r>
        <w:r w:rsidRPr="00C562FD">
          <w:rPr>
            <w:rStyle w:val="Hyperlink"/>
            <w:rFonts w:eastAsia="Batang"/>
            <w:lang w:val="el-GR" w:eastAsia="el-GR"/>
          </w:rPr>
          <w:t>.</w:t>
        </w:r>
        <w:r w:rsidRPr="00C562FD">
          <w:rPr>
            <w:rStyle w:val="Hyperlink"/>
            <w:rFonts w:eastAsia="Batang"/>
            <w:lang w:eastAsia="el-GR"/>
          </w:rPr>
          <w:t>gr</w:t>
        </w:r>
      </w:hyperlink>
      <w:r w:rsidRPr="00C562FD">
        <w:rPr>
          <w:rFonts w:eastAsia="Batang"/>
          <w:lang w:val="el-GR" w:eastAsia="el-GR"/>
        </w:rPr>
        <w:t xml:space="preserve"> </w:t>
      </w:r>
    </w:p>
    <w:sectPr w:rsidR="004337CB" w:rsidRPr="005521A3" w:rsidSect="00150A15">
      <w:headerReference w:type="default" r:id="rId12"/>
      <w:footerReference w:type="default" r:id="rId13"/>
      <w:headerReference w:type="first" r:id="rId14"/>
      <w:footerReference w:type="first" r:id="rId15"/>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8E5BE" w14:textId="77777777" w:rsidR="00A05364" w:rsidRDefault="00A05364" w:rsidP="002E1873">
      <w:pPr>
        <w:spacing w:after="0" w:line="240" w:lineRule="auto"/>
      </w:pPr>
      <w:r>
        <w:separator/>
      </w:r>
    </w:p>
  </w:endnote>
  <w:endnote w:type="continuationSeparator" w:id="0">
    <w:p w14:paraId="2148E5BF" w14:textId="77777777" w:rsidR="00A05364" w:rsidRDefault="00A05364" w:rsidP="002E1873">
      <w:pPr>
        <w:spacing w:after="0" w:line="240" w:lineRule="auto"/>
      </w:pPr>
      <w:r>
        <w:continuationSeparator/>
      </w:r>
    </w:p>
  </w:endnote>
  <w:endnote w:type="continuationNotice" w:id="1">
    <w:p w14:paraId="2148E5C0" w14:textId="77777777" w:rsidR="00A05364" w:rsidRDefault="00A05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3" w14:textId="77777777" w:rsidR="009A2166" w:rsidRPr="0065360B"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148E5C4" w14:textId="77777777" w:rsidR="009A2166" w:rsidRPr="00D41F9B" w:rsidRDefault="009A2166">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7" w14:textId="77777777" w:rsidR="009A2166" w:rsidRPr="0065360B"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148E5C8" w14:textId="77777777" w:rsidR="009A2166" w:rsidRPr="005311F2" w:rsidRDefault="009A216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E5BB" w14:textId="77777777" w:rsidR="00A05364" w:rsidRDefault="00A05364" w:rsidP="002E1873">
      <w:pPr>
        <w:spacing w:after="0" w:line="240" w:lineRule="auto"/>
      </w:pPr>
      <w:r>
        <w:separator/>
      </w:r>
    </w:p>
  </w:footnote>
  <w:footnote w:type="continuationSeparator" w:id="0">
    <w:p w14:paraId="2148E5BC" w14:textId="77777777" w:rsidR="00A05364" w:rsidRDefault="00A05364" w:rsidP="002E1873">
      <w:pPr>
        <w:spacing w:after="0" w:line="240" w:lineRule="auto"/>
      </w:pPr>
      <w:r>
        <w:continuationSeparator/>
      </w:r>
    </w:p>
  </w:footnote>
  <w:footnote w:type="continuationNotice" w:id="1">
    <w:p w14:paraId="2148E5BD" w14:textId="77777777" w:rsidR="00A05364" w:rsidRDefault="00A05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1" w14:textId="037EE9D5" w:rsidR="009A2166" w:rsidRDefault="00DC769D" w:rsidP="005521A3">
    <w:pPr>
      <w:spacing w:before="120" w:after="0" w:line="240" w:lineRule="auto"/>
      <w:rPr>
        <w:sz w:val="20"/>
        <w:szCs w:val="20"/>
        <w:lang w:val="el-GR"/>
      </w:rPr>
    </w:pPr>
    <w:r w:rsidRPr="00DC769D">
      <w:rPr>
        <w:rFonts w:cstheme="majorHAnsi"/>
        <w:bCs/>
        <w:color w:val="262626" w:themeColor="text1" w:themeTint="D9"/>
        <w:sz w:val="20"/>
        <w:szCs w:val="20"/>
        <w:lang w:val="el-GR"/>
      </w:rPr>
      <w:t xml:space="preserve">Το ΕΚΤ στη BEYOND 2026 με νέες συνεργασίες, ψηφιακές υπηρεσίες και δράσεις για την καινοτομία </w:t>
    </w:r>
    <w:r w:rsidR="009A2166" w:rsidRPr="00D52861">
      <w:rPr>
        <w:sz w:val="20"/>
        <w:szCs w:val="20"/>
        <w:lang w:val="el-GR"/>
      </w:rPr>
      <w:t xml:space="preserve">| </w:t>
    </w:r>
    <w:r w:rsidR="009A2166" w:rsidRPr="00D52861">
      <w:rPr>
        <w:sz w:val="20"/>
        <w:szCs w:val="20"/>
        <w:lang w:val="el-GR" w:eastAsia="el-GR"/>
      </w:rPr>
      <w:t>ΕΚΤ</w:t>
    </w:r>
    <w:r w:rsidR="009A2166">
      <w:rPr>
        <w:b/>
        <w:sz w:val="20"/>
        <w:szCs w:val="20"/>
        <w:lang w:val="el-GR" w:eastAsia="el-GR"/>
      </w:rPr>
      <w:t xml:space="preserve"> </w:t>
    </w:r>
    <w:r w:rsidR="009A2166">
      <w:rPr>
        <w:sz w:val="20"/>
        <w:szCs w:val="20"/>
        <w:lang w:val="el-GR"/>
      </w:rPr>
      <w:t>|</w:t>
    </w:r>
    <w:r w:rsidR="009A2166" w:rsidRPr="00787C92">
      <w:rPr>
        <w:sz w:val="20"/>
        <w:szCs w:val="20"/>
        <w:lang w:val="el-GR"/>
      </w:rPr>
      <w:t xml:space="preserve"> </w:t>
    </w:r>
    <w:r w:rsidR="009A2166">
      <w:rPr>
        <w:sz w:val="20"/>
        <w:szCs w:val="20"/>
        <w:lang w:val="el-GR"/>
      </w:rPr>
      <w:t>ΔΕΛΤΙΟ ΤΥΠΟΥ</w:t>
    </w:r>
  </w:p>
  <w:p w14:paraId="2148E5C2" w14:textId="77777777" w:rsidR="005521A3" w:rsidRPr="005521A3" w:rsidRDefault="005521A3" w:rsidP="005521A3">
    <w:pPr>
      <w:spacing w:before="120" w:after="0" w:line="240" w:lineRule="auto"/>
      <w:rPr>
        <w:rFonts w:eastAsia="Times New Roman" w:cstheme="minorHAnsi"/>
        <w:bCs/>
        <w:sz w:val="20"/>
        <w:szCs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5" w14:textId="751323F2" w:rsidR="009A2166" w:rsidRPr="00261937" w:rsidRDefault="009A2166" w:rsidP="00301D9A">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2148E5C9" wp14:editId="2148E5CA">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6442B6">
      <w:rPr>
        <w:lang w:val="el-GR"/>
      </w:rPr>
      <w:t>Αθήνα</w:t>
    </w:r>
    <w:r w:rsidRPr="00DC769D">
      <w:rPr>
        <w:lang w:val="el-GR"/>
      </w:rPr>
      <w:t>,</w:t>
    </w:r>
    <w:r w:rsidRPr="00DC769D">
      <w:t xml:space="preserve"> </w:t>
    </w:r>
    <w:r w:rsidR="00DC769D" w:rsidRPr="00DC769D">
      <w:t>26</w:t>
    </w:r>
    <w:r w:rsidRPr="00DC769D">
      <w:t>.</w:t>
    </w:r>
    <w:r>
      <w:t>0</w:t>
    </w:r>
    <w:r w:rsidR="00DC769D">
      <w:t>6</w:t>
    </w:r>
    <w:r w:rsidRPr="006442B6">
      <w:rPr>
        <w:lang w:val="el-GR"/>
      </w:rPr>
      <w:t>.20</w:t>
    </w:r>
    <w:r w:rsidRPr="006442B6">
      <w:t>2</w:t>
    </w:r>
    <w:r>
      <w:t>6</w:t>
    </w:r>
  </w:p>
  <w:p w14:paraId="2148E5C6" w14:textId="77777777" w:rsidR="009A2166" w:rsidRDefault="009A2166">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D00009"/>
    <w:multiLevelType w:val="hybridMultilevel"/>
    <w:tmpl w:val="B6B6E9BE"/>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7C5A13"/>
    <w:multiLevelType w:val="hybridMultilevel"/>
    <w:tmpl w:val="89A89564"/>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D01CF"/>
    <w:multiLevelType w:val="hybridMultilevel"/>
    <w:tmpl w:val="1C7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53CC0"/>
    <w:multiLevelType w:val="multilevel"/>
    <w:tmpl w:val="B63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E1873"/>
    <w:rsid w:val="00011730"/>
    <w:rsid w:val="00014478"/>
    <w:rsid w:val="000154CA"/>
    <w:rsid w:val="000344E2"/>
    <w:rsid w:val="00034CF4"/>
    <w:rsid w:val="00041536"/>
    <w:rsid w:val="00043427"/>
    <w:rsid w:val="00044A7D"/>
    <w:rsid w:val="0005442B"/>
    <w:rsid w:val="00061794"/>
    <w:rsid w:val="00063D68"/>
    <w:rsid w:val="00064AAE"/>
    <w:rsid w:val="000665F7"/>
    <w:rsid w:val="00067AF1"/>
    <w:rsid w:val="00075F01"/>
    <w:rsid w:val="000878D1"/>
    <w:rsid w:val="00090578"/>
    <w:rsid w:val="00097532"/>
    <w:rsid w:val="00097B1F"/>
    <w:rsid w:val="000A3A7C"/>
    <w:rsid w:val="000A791D"/>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A4C"/>
    <w:rsid w:val="00127EFC"/>
    <w:rsid w:val="0013453F"/>
    <w:rsid w:val="00136281"/>
    <w:rsid w:val="0013773A"/>
    <w:rsid w:val="0014272C"/>
    <w:rsid w:val="001458CF"/>
    <w:rsid w:val="00150A15"/>
    <w:rsid w:val="001609C6"/>
    <w:rsid w:val="001643B5"/>
    <w:rsid w:val="001646C1"/>
    <w:rsid w:val="0016730D"/>
    <w:rsid w:val="001701AC"/>
    <w:rsid w:val="00171E76"/>
    <w:rsid w:val="0017374C"/>
    <w:rsid w:val="0017687E"/>
    <w:rsid w:val="001879A9"/>
    <w:rsid w:val="00192BAB"/>
    <w:rsid w:val="001A0C05"/>
    <w:rsid w:val="001B4208"/>
    <w:rsid w:val="001C0973"/>
    <w:rsid w:val="001C2B9D"/>
    <w:rsid w:val="001D5F59"/>
    <w:rsid w:val="001D60BF"/>
    <w:rsid w:val="001E15D2"/>
    <w:rsid w:val="001E3470"/>
    <w:rsid w:val="001F1896"/>
    <w:rsid w:val="001F3758"/>
    <w:rsid w:val="00204235"/>
    <w:rsid w:val="002043D7"/>
    <w:rsid w:val="00212827"/>
    <w:rsid w:val="00213507"/>
    <w:rsid w:val="0021492D"/>
    <w:rsid w:val="002208F1"/>
    <w:rsid w:val="00231BA2"/>
    <w:rsid w:val="0023529C"/>
    <w:rsid w:val="00241D75"/>
    <w:rsid w:val="002423F5"/>
    <w:rsid w:val="002424C1"/>
    <w:rsid w:val="00243231"/>
    <w:rsid w:val="00251B73"/>
    <w:rsid w:val="002544D7"/>
    <w:rsid w:val="002573E7"/>
    <w:rsid w:val="00261937"/>
    <w:rsid w:val="00261B93"/>
    <w:rsid w:val="00263A9B"/>
    <w:rsid w:val="00271C3E"/>
    <w:rsid w:val="002738C0"/>
    <w:rsid w:val="00276E4A"/>
    <w:rsid w:val="00281CCA"/>
    <w:rsid w:val="002877A3"/>
    <w:rsid w:val="002A2E0B"/>
    <w:rsid w:val="002B3685"/>
    <w:rsid w:val="002B5D08"/>
    <w:rsid w:val="002C0EAE"/>
    <w:rsid w:val="002C28B5"/>
    <w:rsid w:val="002C33D6"/>
    <w:rsid w:val="002E1873"/>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52A12"/>
    <w:rsid w:val="003624E6"/>
    <w:rsid w:val="00375B24"/>
    <w:rsid w:val="00385BB7"/>
    <w:rsid w:val="0039097A"/>
    <w:rsid w:val="003A09FF"/>
    <w:rsid w:val="003A43CD"/>
    <w:rsid w:val="003C25B8"/>
    <w:rsid w:val="003D16B1"/>
    <w:rsid w:val="003D461D"/>
    <w:rsid w:val="003E17AF"/>
    <w:rsid w:val="003E32B8"/>
    <w:rsid w:val="003F577B"/>
    <w:rsid w:val="00401A75"/>
    <w:rsid w:val="00405615"/>
    <w:rsid w:val="0041566A"/>
    <w:rsid w:val="004179A7"/>
    <w:rsid w:val="00421DA3"/>
    <w:rsid w:val="00427B63"/>
    <w:rsid w:val="004337CB"/>
    <w:rsid w:val="0043429D"/>
    <w:rsid w:val="00442A6B"/>
    <w:rsid w:val="00447DCF"/>
    <w:rsid w:val="004527A1"/>
    <w:rsid w:val="00462DDC"/>
    <w:rsid w:val="004769FA"/>
    <w:rsid w:val="00477D8D"/>
    <w:rsid w:val="00486BF1"/>
    <w:rsid w:val="0048784E"/>
    <w:rsid w:val="00487B73"/>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514"/>
    <w:rsid w:val="004E3EBF"/>
    <w:rsid w:val="004E4540"/>
    <w:rsid w:val="004E4B57"/>
    <w:rsid w:val="004E6FE1"/>
    <w:rsid w:val="00501407"/>
    <w:rsid w:val="00506C94"/>
    <w:rsid w:val="00510242"/>
    <w:rsid w:val="00511750"/>
    <w:rsid w:val="00517337"/>
    <w:rsid w:val="00525759"/>
    <w:rsid w:val="00533CFB"/>
    <w:rsid w:val="005521A3"/>
    <w:rsid w:val="0055587A"/>
    <w:rsid w:val="00561F1D"/>
    <w:rsid w:val="00564C46"/>
    <w:rsid w:val="00577527"/>
    <w:rsid w:val="00577E88"/>
    <w:rsid w:val="00580476"/>
    <w:rsid w:val="005831F5"/>
    <w:rsid w:val="00583851"/>
    <w:rsid w:val="0059171C"/>
    <w:rsid w:val="005A0403"/>
    <w:rsid w:val="005A58DF"/>
    <w:rsid w:val="005B35A3"/>
    <w:rsid w:val="005B4FC7"/>
    <w:rsid w:val="005B5961"/>
    <w:rsid w:val="005B61E5"/>
    <w:rsid w:val="005D291A"/>
    <w:rsid w:val="005D4304"/>
    <w:rsid w:val="005D6E58"/>
    <w:rsid w:val="005D6F09"/>
    <w:rsid w:val="005E031F"/>
    <w:rsid w:val="005F0D19"/>
    <w:rsid w:val="00603484"/>
    <w:rsid w:val="00610214"/>
    <w:rsid w:val="00610B2F"/>
    <w:rsid w:val="00616508"/>
    <w:rsid w:val="00621442"/>
    <w:rsid w:val="0063034C"/>
    <w:rsid w:val="00637A32"/>
    <w:rsid w:val="00640EC7"/>
    <w:rsid w:val="006412D3"/>
    <w:rsid w:val="006442B6"/>
    <w:rsid w:val="0065132C"/>
    <w:rsid w:val="00652B33"/>
    <w:rsid w:val="00663E3D"/>
    <w:rsid w:val="00665986"/>
    <w:rsid w:val="006854F7"/>
    <w:rsid w:val="00693749"/>
    <w:rsid w:val="006A38DC"/>
    <w:rsid w:val="006A75E6"/>
    <w:rsid w:val="006B057B"/>
    <w:rsid w:val="006B191C"/>
    <w:rsid w:val="006B4632"/>
    <w:rsid w:val="006D00BC"/>
    <w:rsid w:val="006D0D75"/>
    <w:rsid w:val="006D556E"/>
    <w:rsid w:val="006E2C99"/>
    <w:rsid w:val="006E3FD0"/>
    <w:rsid w:val="006E4C35"/>
    <w:rsid w:val="006F14F2"/>
    <w:rsid w:val="006F2293"/>
    <w:rsid w:val="00704039"/>
    <w:rsid w:val="00705D85"/>
    <w:rsid w:val="007129BB"/>
    <w:rsid w:val="00712D03"/>
    <w:rsid w:val="007145F4"/>
    <w:rsid w:val="00720C3A"/>
    <w:rsid w:val="00740CCF"/>
    <w:rsid w:val="00753584"/>
    <w:rsid w:val="007727EE"/>
    <w:rsid w:val="00776FE5"/>
    <w:rsid w:val="00786BB7"/>
    <w:rsid w:val="00790BEA"/>
    <w:rsid w:val="0079642E"/>
    <w:rsid w:val="00797F30"/>
    <w:rsid w:val="007A7B0C"/>
    <w:rsid w:val="007A7C4A"/>
    <w:rsid w:val="007C536F"/>
    <w:rsid w:val="007D183B"/>
    <w:rsid w:val="007D2870"/>
    <w:rsid w:val="007D5174"/>
    <w:rsid w:val="007D77A4"/>
    <w:rsid w:val="007E42D1"/>
    <w:rsid w:val="007E4D87"/>
    <w:rsid w:val="007E67CF"/>
    <w:rsid w:val="00801E68"/>
    <w:rsid w:val="00802102"/>
    <w:rsid w:val="00802EA1"/>
    <w:rsid w:val="008044F5"/>
    <w:rsid w:val="00807351"/>
    <w:rsid w:val="0081280F"/>
    <w:rsid w:val="00812A0B"/>
    <w:rsid w:val="00820292"/>
    <w:rsid w:val="00821115"/>
    <w:rsid w:val="00834D8D"/>
    <w:rsid w:val="00835AA2"/>
    <w:rsid w:val="008439D2"/>
    <w:rsid w:val="0085138D"/>
    <w:rsid w:val="008526BF"/>
    <w:rsid w:val="00856E43"/>
    <w:rsid w:val="008734E8"/>
    <w:rsid w:val="0087532A"/>
    <w:rsid w:val="00881E9A"/>
    <w:rsid w:val="00885C95"/>
    <w:rsid w:val="00890B92"/>
    <w:rsid w:val="008918B2"/>
    <w:rsid w:val="00892854"/>
    <w:rsid w:val="00897E62"/>
    <w:rsid w:val="008A0F6A"/>
    <w:rsid w:val="008B6150"/>
    <w:rsid w:val="008B6EC6"/>
    <w:rsid w:val="008C4FCF"/>
    <w:rsid w:val="008C6824"/>
    <w:rsid w:val="008C74E9"/>
    <w:rsid w:val="008C7679"/>
    <w:rsid w:val="008D2755"/>
    <w:rsid w:val="008D392C"/>
    <w:rsid w:val="008F102D"/>
    <w:rsid w:val="008F44A2"/>
    <w:rsid w:val="00914547"/>
    <w:rsid w:val="009145E9"/>
    <w:rsid w:val="0092609C"/>
    <w:rsid w:val="00934878"/>
    <w:rsid w:val="0096148D"/>
    <w:rsid w:val="00962929"/>
    <w:rsid w:val="009732E6"/>
    <w:rsid w:val="0099714B"/>
    <w:rsid w:val="00997624"/>
    <w:rsid w:val="009A2166"/>
    <w:rsid w:val="009A2D77"/>
    <w:rsid w:val="009B08B0"/>
    <w:rsid w:val="009B0DF0"/>
    <w:rsid w:val="009B5AA5"/>
    <w:rsid w:val="009C1036"/>
    <w:rsid w:val="009C4982"/>
    <w:rsid w:val="009D0EF3"/>
    <w:rsid w:val="009D42F8"/>
    <w:rsid w:val="009E25DC"/>
    <w:rsid w:val="009E3096"/>
    <w:rsid w:val="009E7442"/>
    <w:rsid w:val="009F2CF1"/>
    <w:rsid w:val="009F4065"/>
    <w:rsid w:val="00A0124B"/>
    <w:rsid w:val="00A02041"/>
    <w:rsid w:val="00A05364"/>
    <w:rsid w:val="00A06145"/>
    <w:rsid w:val="00A11144"/>
    <w:rsid w:val="00A13146"/>
    <w:rsid w:val="00A3085B"/>
    <w:rsid w:val="00A31A53"/>
    <w:rsid w:val="00A32599"/>
    <w:rsid w:val="00A36E04"/>
    <w:rsid w:val="00A43B93"/>
    <w:rsid w:val="00A4758D"/>
    <w:rsid w:val="00A61AB1"/>
    <w:rsid w:val="00A6445F"/>
    <w:rsid w:val="00A70390"/>
    <w:rsid w:val="00A7669B"/>
    <w:rsid w:val="00A92C48"/>
    <w:rsid w:val="00A944BF"/>
    <w:rsid w:val="00AA2027"/>
    <w:rsid w:val="00AA20A3"/>
    <w:rsid w:val="00AC6B29"/>
    <w:rsid w:val="00AD0383"/>
    <w:rsid w:val="00AD069D"/>
    <w:rsid w:val="00AD2ABA"/>
    <w:rsid w:val="00AD4A70"/>
    <w:rsid w:val="00AE65B0"/>
    <w:rsid w:val="00AF1A08"/>
    <w:rsid w:val="00AF2CC8"/>
    <w:rsid w:val="00AF5A34"/>
    <w:rsid w:val="00AF6A36"/>
    <w:rsid w:val="00B04B35"/>
    <w:rsid w:val="00B2215D"/>
    <w:rsid w:val="00B27D91"/>
    <w:rsid w:val="00B330F7"/>
    <w:rsid w:val="00B37536"/>
    <w:rsid w:val="00B4066B"/>
    <w:rsid w:val="00B552AA"/>
    <w:rsid w:val="00B57A74"/>
    <w:rsid w:val="00B709D9"/>
    <w:rsid w:val="00B75D53"/>
    <w:rsid w:val="00B81BAA"/>
    <w:rsid w:val="00B87355"/>
    <w:rsid w:val="00B906BC"/>
    <w:rsid w:val="00B91D60"/>
    <w:rsid w:val="00BA050A"/>
    <w:rsid w:val="00BA3EF4"/>
    <w:rsid w:val="00BB291D"/>
    <w:rsid w:val="00BB77B6"/>
    <w:rsid w:val="00BC390C"/>
    <w:rsid w:val="00BE4E81"/>
    <w:rsid w:val="00BE5839"/>
    <w:rsid w:val="00BF2CC5"/>
    <w:rsid w:val="00C0372A"/>
    <w:rsid w:val="00C11192"/>
    <w:rsid w:val="00C12667"/>
    <w:rsid w:val="00C24544"/>
    <w:rsid w:val="00C35F39"/>
    <w:rsid w:val="00C36BA2"/>
    <w:rsid w:val="00C467DD"/>
    <w:rsid w:val="00C515D1"/>
    <w:rsid w:val="00C54609"/>
    <w:rsid w:val="00C54A3D"/>
    <w:rsid w:val="00C55DA3"/>
    <w:rsid w:val="00C562FD"/>
    <w:rsid w:val="00C569F5"/>
    <w:rsid w:val="00C61884"/>
    <w:rsid w:val="00C63BAD"/>
    <w:rsid w:val="00C665A5"/>
    <w:rsid w:val="00C70819"/>
    <w:rsid w:val="00C72D1D"/>
    <w:rsid w:val="00C85F3D"/>
    <w:rsid w:val="00C870E7"/>
    <w:rsid w:val="00C96A12"/>
    <w:rsid w:val="00CA6C05"/>
    <w:rsid w:val="00CB12F2"/>
    <w:rsid w:val="00CB4791"/>
    <w:rsid w:val="00CC3FCB"/>
    <w:rsid w:val="00CD092A"/>
    <w:rsid w:val="00CD1DF6"/>
    <w:rsid w:val="00CD3BBC"/>
    <w:rsid w:val="00CE0EE4"/>
    <w:rsid w:val="00CF1DC3"/>
    <w:rsid w:val="00CF5378"/>
    <w:rsid w:val="00D1336D"/>
    <w:rsid w:val="00D17D47"/>
    <w:rsid w:val="00D20E44"/>
    <w:rsid w:val="00D340AC"/>
    <w:rsid w:val="00D3561E"/>
    <w:rsid w:val="00D41F9B"/>
    <w:rsid w:val="00D46024"/>
    <w:rsid w:val="00D46A04"/>
    <w:rsid w:val="00D54466"/>
    <w:rsid w:val="00D55E29"/>
    <w:rsid w:val="00D67756"/>
    <w:rsid w:val="00D67768"/>
    <w:rsid w:val="00D7223F"/>
    <w:rsid w:val="00D74B26"/>
    <w:rsid w:val="00D83951"/>
    <w:rsid w:val="00D86BE3"/>
    <w:rsid w:val="00D95BCD"/>
    <w:rsid w:val="00DB00AA"/>
    <w:rsid w:val="00DB3684"/>
    <w:rsid w:val="00DC35F2"/>
    <w:rsid w:val="00DC5204"/>
    <w:rsid w:val="00DC769D"/>
    <w:rsid w:val="00DF5D25"/>
    <w:rsid w:val="00E03788"/>
    <w:rsid w:val="00E07888"/>
    <w:rsid w:val="00E12E09"/>
    <w:rsid w:val="00E20D67"/>
    <w:rsid w:val="00E2488C"/>
    <w:rsid w:val="00E27EBF"/>
    <w:rsid w:val="00E31AFD"/>
    <w:rsid w:val="00E3275F"/>
    <w:rsid w:val="00E37089"/>
    <w:rsid w:val="00E37447"/>
    <w:rsid w:val="00E44211"/>
    <w:rsid w:val="00E4638A"/>
    <w:rsid w:val="00E507E4"/>
    <w:rsid w:val="00E556A3"/>
    <w:rsid w:val="00E57B36"/>
    <w:rsid w:val="00E600C3"/>
    <w:rsid w:val="00E62404"/>
    <w:rsid w:val="00E70426"/>
    <w:rsid w:val="00E7708B"/>
    <w:rsid w:val="00E9573D"/>
    <w:rsid w:val="00EA5A00"/>
    <w:rsid w:val="00EB6353"/>
    <w:rsid w:val="00EC2B50"/>
    <w:rsid w:val="00EC3996"/>
    <w:rsid w:val="00ED14CB"/>
    <w:rsid w:val="00EF445A"/>
    <w:rsid w:val="00F00748"/>
    <w:rsid w:val="00F02C89"/>
    <w:rsid w:val="00F12205"/>
    <w:rsid w:val="00F2076C"/>
    <w:rsid w:val="00F25EAF"/>
    <w:rsid w:val="00F43C22"/>
    <w:rsid w:val="00F45D18"/>
    <w:rsid w:val="00F472FE"/>
    <w:rsid w:val="00F479DB"/>
    <w:rsid w:val="00F47CBE"/>
    <w:rsid w:val="00F51263"/>
    <w:rsid w:val="00F70852"/>
    <w:rsid w:val="00F74184"/>
    <w:rsid w:val="00F758E1"/>
    <w:rsid w:val="00F84266"/>
    <w:rsid w:val="00F87E08"/>
    <w:rsid w:val="00FA1A08"/>
    <w:rsid w:val="00FB3380"/>
    <w:rsid w:val="00FB5C3C"/>
    <w:rsid w:val="00FD009B"/>
    <w:rsid w:val="00FD01B0"/>
    <w:rsid w:val="00FD5072"/>
    <w:rsid w:val="00FE141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E5AC"/>
  <w15:docId w15:val="{3F29E0BA-0523-484F-A139-FA9E07A5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3">
    <w:name w:val="heading 3"/>
    <w:basedOn w:val="Normal"/>
    <w:next w:val="Normal"/>
    <w:link w:val="Heading3Char"/>
    <w:uiPriority w:val="9"/>
    <w:unhideWhenUsed/>
    <w:qFormat/>
    <w:rsid w:val="00552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character" w:customStyle="1" w:styleId="UnresolvedMention1">
    <w:name w:val="Unresolved Mention1"/>
    <w:basedOn w:val="DefaultParagraphFont"/>
    <w:uiPriority w:val="99"/>
    <w:semiHidden/>
    <w:unhideWhenUsed/>
    <w:rsid w:val="005521A3"/>
    <w:rPr>
      <w:color w:val="605E5C"/>
      <w:shd w:val="clear" w:color="auto" w:fill="E1DFDD"/>
    </w:rPr>
  </w:style>
  <w:style w:type="character" w:customStyle="1" w:styleId="Heading3Char">
    <w:name w:val="Heading 3 Char"/>
    <w:basedOn w:val="DefaultParagraphFont"/>
    <w:link w:val="Heading3"/>
    <w:uiPriority w:val="9"/>
    <w:rsid w:val="005521A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521A3"/>
    <w:rPr>
      <w:b/>
      <w:bCs/>
    </w:rPr>
  </w:style>
  <w:style w:type="paragraph" w:styleId="NormalWeb">
    <w:name w:val="Normal (Web)"/>
    <w:basedOn w:val="Normal"/>
    <w:uiPriority w:val="99"/>
    <w:unhideWhenUsed/>
    <w:rsid w:val="00577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3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0704">
      <w:bodyDiv w:val="1"/>
      <w:marLeft w:val="0"/>
      <w:marRight w:val="0"/>
      <w:marTop w:val="0"/>
      <w:marBottom w:val="0"/>
      <w:divBdr>
        <w:top w:val="none" w:sz="0" w:space="0" w:color="auto"/>
        <w:left w:val="none" w:sz="0" w:space="0" w:color="auto"/>
        <w:bottom w:val="none" w:sz="0" w:space="0" w:color="auto"/>
        <w:right w:val="none" w:sz="0" w:space="0" w:color="auto"/>
      </w:divBdr>
    </w:div>
    <w:div w:id="388264209">
      <w:bodyDiv w:val="1"/>
      <w:marLeft w:val="0"/>
      <w:marRight w:val="0"/>
      <w:marTop w:val="0"/>
      <w:marBottom w:val="0"/>
      <w:divBdr>
        <w:top w:val="none" w:sz="0" w:space="0" w:color="auto"/>
        <w:left w:val="none" w:sz="0" w:space="0" w:color="auto"/>
        <w:bottom w:val="none" w:sz="0" w:space="0" w:color="auto"/>
        <w:right w:val="none" w:sz="0" w:space="0" w:color="auto"/>
      </w:divBdr>
    </w:div>
    <w:div w:id="573008392">
      <w:bodyDiv w:val="1"/>
      <w:marLeft w:val="0"/>
      <w:marRight w:val="0"/>
      <w:marTop w:val="0"/>
      <w:marBottom w:val="0"/>
      <w:divBdr>
        <w:top w:val="none" w:sz="0" w:space="0" w:color="auto"/>
        <w:left w:val="none" w:sz="0" w:space="0" w:color="auto"/>
        <w:bottom w:val="none" w:sz="0" w:space="0" w:color="auto"/>
        <w:right w:val="none" w:sz="0" w:space="0" w:color="auto"/>
      </w:divBdr>
    </w:div>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 w:id="2011132134">
      <w:bodyDiv w:val="1"/>
      <w:marLeft w:val="0"/>
      <w:marRight w:val="0"/>
      <w:marTop w:val="0"/>
      <w:marBottom w:val="0"/>
      <w:divBdr>
        <w:top w:val="none" w:sz="0" w:space="0" w:color="auto"/>
        <w:left w:val="none" w:sz="0" w:space="0" w:color="auto"/>
        <w:bottom w:val="none" w:sz="0" w:space="0" w:color="auto"/>
        <w:right w:val="none" w:sz="0" w:space="0" w:color="auto"/>
      </w:divBdr>
    </w:div>
    <w:div w:id="207218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ekt.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1795-8556-4C71-B376-894D395A4ADA}">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c85ea02-3356-4cf5-86fa-e25d0775b27d"/>
    <ds:schemaRef ds:uri="http://purl.org/dc/dcmitype/"/>
    <ds:schemaRef ds:uri="http://purl.org/dc/elements/1.1/"/>
    <ds:schemaRef ds:uri="fc1a25ad-c8f1-48d8-b13a-dff6fe122856"/>
    <ds:schemaRef ds:uri="http://www.w3.org/XML/1998/namespace"/>
    <ds:schemaRef ds:uri="http://purl.org/dc/terms/"/>
  </ds:schemaRefs>
</ds:datastoreItem>
</file>

<file path=customXml/itemProps2.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3.xml><?xml version="1.0" encoding="utf-8"?>
<ds:datastoreItem xmlns:ds="http://schemas.openxmlformats.org/officeDocument/2006/customXml" ds:itemID="{1775D1A3-4BC8-46CD-AE01-F129A39C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9AAB8-4DAA-4C14-AB3D-B7B3A657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1414</Words>
  <Characters>8063</Characters>
  <Application>Microsoft Office Word</Application>
  <DocSecurity>0</DocSecurity>
  <Lines>67</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3</cp:revision>
  <cp:lastPrinted>2026-06-26T13:07:00Z</cp:lastPrinted>
  <dcterms:created xsi:type="dcterms:W3CDTF">2026-06-26T13:16:00Z</dcterms:created>
  <dcterms:modified xsi:type="dcterms:W3CDTF">2026-06-26T13:19:00Z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