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2" w:rsidRPr="006D65F0" w:rsidRDefault="009B424A" w:rsidP="00FD2F31">
      <w:pPr>
        <w:pStyle w:val="9"/>
        <w:spacing w:line="240" w:lineRule="auto"/>
        <w:ind w:left="0" w:right="0" w:firstLine="0"/>
        <w:rPr>
          <w:rFonts w:ascii="Verdana" w:hAnsi="Verdana"/>
          <w:szCs w:val="22"/>
        </w:rPr>
      </w:pPr>
      <w:r>
        <w:rPr>
          <w:rFonts w:ascii="Verdana" w:hAnsi="Verdana"/>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6pt;margin-top:-34.95pt;width:57.15pt;height:114pt;z-index:251657728" o:allowincell="f">
            <v:imagedata r:id="rId8" o:title=""/>
            <w10:wrap type="topAndBottom"/>
          </v:shape>
          <o:OLEObject Type="Embed" ProgID="Photoshop.Image.5" ShapeID="_x0000_s1029" DrawAspect="Content" ObjectID="_1560773507" r:id="rId9">
            <o:FieldCodes>\s</o:FieldCodes>
          </o:OLEObject>
        </w:object>
      </w:r>
      <w:r w:rsidR="004671D5">
        <w:rPr>
          <w:rFonts w:ascii="Verdana" w:hAnsi="Verdana"/>
          <w:sz w:val="20"/>
        </w:rPr>
        <w:t xml:space="preserve"> </w:t>
      </w:r>
      <w:r w:rsidR="004671D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EF75E1" w:rsidRPr="00B53225">
        <w:rPr>
          <w:rFonts w:ascii="Verdana" w:hAnsi="Verdana"/>
          <w:sz w:val="20"/>
        </w:rPr>
        <w:tab/>
        <w:t xml:space="preserve">      </w:t>
      </w:r>
      <w:r w:rsidR="00B56702" w:rsidRPr="00B53225">
        <w:rPr>
          <w:rFonts w:ascii="Verdana" w:hAnsi="Verdana"/>
          <w:sz w:val="20"/>
        </w:rPr>
        <w:t xml:space="preserve">     </w:t>
      </w:r>
      <w:r w:rsidR="00B56702" w:rsidRPr="00452F44">
        <w:rPr>
          <w:rFonts w:ascii="Verdana" w:hAnsi="Verdana"/>
          <w:szCs w:val="22"/>
        </w:rPr>
        <w:t xml:space="preserve">Αθήνα, </w:t>
      </w:r>
      <w:r w:rsidR="00AE1AE8" w:rsidRPr="00AE1AE8">
        <w:rPr>
          <w:rFonts w:ascii="Verdana" w:hAnsi="Verdana"/>
          <w:szCs w:val="22"/>
        </w:rPr>
        <w:t>0</w:t>
      </w:r>
      <w:r w:rsidR="00AE1AE8" w:rsidRPr="006D65F0">
        <w:rPr>
          <w:rFonts w:ascii="Verdana" w:hAnsi="Verdana"/>
          <w:szCs w:val="22"/>
        </w:rPr>
        <w:t>5</w:t>
      </w:r>
      <w:r w:rsidR="00AB2817" w:rsidRPr="00DD5554">
        <w:rPr>
          <w:rFonts w:ascii="Verdana" w:hAnsi="Verdana"/>
          <w:szCs w:val="22"/>
        </w:rPr>
        <w:t>/</w:t>
      </w:r>
      <w:r w:rsidR="00AE1AE8" w:rsidRPr="006D65F0">
        <w:rPr>
          <w:rFonts w:ascii="Verdana" w:hAnsi="Verdana"/>
          <w:szCs w:val="22"/>
        </w:rPr>
        <w:t>07</w:t>
      </w:r>
      <w:r w:rsidR="009B5EA3" w:rsidRPr="00DD5554">
        <w:rPr>
          <w:rFonts w:ascii="Verdana" w:hAnsi="Verdana"/>
          <w:szCs w:val="22"/>
        </w:rPr>
        <w:t>/20</w:t>
      </w:r>
      <w:r w:rsidR="004556A4" w:rsidRPr="00DD5554">
        <w:rPr>
          <w:rFonts w:ascii="Verdana" w:hAnsi="Verdana"/>
          <w:szCs w:val="22"/>
        </w:rPr>
        <w:t>1</w:t>
      </w:r>
      <w:r w:rsidR="00AE1AE8" w:rsidRPr="006D65F0">
        <w:rPr>
          <w:rFonts w:ascii="Verdana" w:hAnsi="Verdana"/>
          <w:szCs w:val="22"/>
        </w:rPr>
        <w:t>7</w:t>
      </w:r>
    </w:p>
    <w:p w:rsidR="00B56702" w:rsidRPr="00452F44" w:rsidRDefault="00B56702" w:rsidP="00FD2F31">
      <w:pPr>
        <w:pStyle w:val="a3"/>
        <w:rPr>
          <w:rFonts w:ascii="Verdana" w:hAnsi="Verdana"/>
          <w:sz w:val="24"/>
          <w:szCs w:val="24"/>
          <w:lang w:val="el-GR"/>
        </w:rPr>
      </w:pPr>
      <w:r w:rsidRPr="00452F44">
        <w:rPr>
          <w:rFonts w:ascii="Verdana" w:hAnsi="Verdana"/>
          <w:sz w:val="24"/>
          <w:szCs w:val="24"/>
          <w:lang w:val="el-GR"/>
        </w:rPr>
        <w:t>ΔΕΛΤΙΟ ΤΥΠΟΥ</w:t>
      </w:r>
    </w:p>
    <w:p w:rsidR="007A71D0" w:rsidRPr="00E139F5" w:rsidRDefault="00E959EF" w:rsidP="0077580B">
      <w:pPr>
        <w:jc w:val="center"/>
        <w:rPr>
          <w:rFonts w:ascii="Verdana" w:hAnsi="Verdana"/>
          <w:sz w:val="16"/>
          <w:szCs w:val="16"/>
          <w:lang w:val="el-GR" w:eastAsia="el-GR"/>
        </w:rPr>
      </w:pPr>
      <w:r w:rsidRPr="00E139F5">
        <w:rPr>
          <w:rFonts w:ascii="Verdana" w:hAnsi="Verdana"/>
          <w:i/>
          <w:sz w:val="16"/>
          <w:szCs w:val="16"/>
          <w:lang w:val="el-GR"/>
        </w:rPr>
        <w:t xml:space="preserve"> </w:t>
      </w:r>
      <w:r w:rsidRPr="00E139F5">
        <w:rPr>
          <w:rFonts w:ascii="Verdana" w:hAnsi="Verdana"/>
          <w:b/>
          <w:sz w:val="16"/>
          <w:szCs w:val="16"/>
          <w:lang w:val="el-GR"/>
        </w:rPr>
        <w:t xml:space="preserve"> </w:t>
      </w:r>
    </w:p>
    <w:p w:rsidR="009B424A" w:rsidRDefault="00356C27" w:rsidP="00356C27">
      <w:pPr>
        <w:jc w:val="center"/>
        <w:rPr>
          <w:rFonts w:ascii="Verdana" w:hAnsi="Verdana"/>
          <w:b/>
          <w:sz w:val="22"/>
          <w:szCs w:val="22"/>
          <w:lang w:val="el-GR"/>
        </w:rPr>
      </w:pPr>
      <w:r w:rsidRPr="00A41C3C">
        <w:rPr>
          <w:rFonts w:ascii="Verdana" w:hAnsi="Verdana"/>
          <w:b/>
          <w:sz w:val="22"/>
          <w:szCs w:val="22"/>
          <w:lang w:val="el-GR"/>
        </w:rPr>
        <w:t>Στο 0,</w:t>
      </w:r>
      <w:r w:rsidRPr="00356C27">
        <w:rPr>
          <w:rFonts w:ascii="Verdana" w:hAnsi="Verdana"/>
          <w:b/>
          <w:sz w:val="22"/>
          <w:szCs w:val="22"/>
          <w:lang w:val="el-GR"/>
        </w:rPr>
        <w:t>97</w:t>
      </w:r>
      <w:r w:rsidRPr="00A41C3C">
        <w:rPr>
          <w:rFonts w:ascii="Verdana" w:hAnsi="Verdana"/>
          <w:b/>
          <w:sz w:val="22"/>
          <w:szCs w:val="22"/>
          <w:lang w:val="el-GR"/>
        </w:rPr>
        <w:t xml:space="preserve">% του ΑΕΠ </w:t>
      </w:r>
      <w:r w:rsidRPr="00FF0409">
        <w:rPr>
          <w:rFonts w:ascii="Verdana" w:hAnsi="Verdana"/>
          <w:b/>
          <w:sz w:val="22"/>
          <w:szCs w:val="22"/>
          <w:lang w:val="el-GR"/>
        </w:rPr>
        <w:t>το ποσοστ</w:t>
      </w:r>
      <w:r>
        <w:rPr>
          <w:rFonts w:ascii="Verdana" w:hAnsi="Verdana"/>
          <w:b/>
          <w:sz w:val="22"/>
          <w:szCs w:val="22"/>
          <w:lang w:val="el-GR"/>
        </w:rPr>
        <w:t xml:space="preserve">ό δαπανών </w:t>
      </w:r>
      <w:r w:rsidRPr="00A41C3C">
        <w:rPr>
          <w:rFonts w:ascii="Verdana" w:hAnsi="Verdana"/>
          <w:b/>
          <w:sz w:val="22"/>
          <w:szCs w:val="22"/>
          <w:lang w:val="el-GR"/>
        </w:rPr>
        <w:t>για Έρευνα &amp; Ανάπτυξη</w:t>
      </w:r>
      <w:r w:rsidR="007E748E" w:rsidRPr="007E748E">
        <w:rPr>
          <w:rFonts w:ascii="Verdana" w:hAnsi="Verdana"/>
          <w:b/>
          <w:sz w:val="22"/>
          <w:szCs w:val="22"/>
          <w:lang w:val="el-GR"/>
        </w:rPr>
        <w:t xml:space="preserve"> </w:t>
      </w:r>
    </w:p>
    <w:p w:rsidR="00356C27" w:rsidRDefault="009B424A" w:rsidP="00356C27">
      <w:pPr>
        <w:jc w:val="center"/>
        <w:rPr>
          <w:rFonts w:ascii="Verdana" w:hAnsi="Verdana"/>
          <w:b/>
          <w:sz w:val="22"/>
          <w:szCs w:val="22"/>
          <w:lang w:val="el-GR"/>
        </w:rPr>
      </w:pPr>
      <w:r>
        <w:rPr>
          <w:rFonts w:ascii="Verdana" w:hAnsi="Verdana"/>
          <w:b/>
          <w:sz w:val="22"/>
          <w:szCs w:val="22"/>
          <w:lang w:val="el-GR"/>
        </w:rPr>
        <w:t>τ</w:t>
      </w:r>
      <w:r w:rsidR="00356C27">
        <w:rPr>
          <w:rFonts w:ascii="Verdana" w:hAnsi="Verdana"/>
          <w:b/>
          <w:sz w:val="22"/>
          <w:szCs w:val="22"/>
          <w:lang w:val="el-GR"/>
        </w:rPr>
        <w:t>ο 201</w:t>
      </w:r>
      <w:r w:rsidR="00356C27" w:rsidRPr="00356C27">
        <w:rPr>
          <w:rFonts w:ascii="Verdana" w:hAnsi="Verdana"/>
          <w:b/>
          <w:sz w:val="22"/>
          <w:szCs w:val="22"/>
          <w:lang w:val="el-GR"/>
        </w:rPr>
        <w:t>5</w:t>
      </w:r>
      <w:r w:rsidR="00356C27" w:rsidRPr="00A41C3C">
        <w:rPr>
          <w:rFonts w:ascii="Verdana" w:hAnsi="Verdana"/>
          <w:b/>
          <w:sz w:val="22"/>
          <w:szCs w:val="22"/>
          <w:lang w:val="el-GR"/>
        </w:rPr>
        <w:t xml:space="preserve">, σύμφωνα με τα </w:t>
      </w:r>
      <w:r w:rsidR="00356C27">
        <w:rPr>
          <w:rFonts w:ascii="Verdana" w:hAnsi="Verdana"/>
          <w:b/>
          <w:sz w:val="22"/>
          <w:szCs w:val="22"/>
          <w:lang w:val="el-GR"/>
        </w:rPr>
        <w:t xml:space="preserve">τελικά </w:t>
      </w:r>
      <w:r w:rsidR="00356C27" w:rsidRPr="00A41C3C">
        <w:rPr>
          <w:rFonts w:ascii="Verdana" w:hAnsi="Verdana"/>
          <w:b/>
          <w:sz w:val="22"/>
          <w:szCs w:val="22"/>
          <w:lang w:val="el-GR"/>
        </w:rPr>
        <w:t xml:space="preserve">στοιχεία </w:t>
      </w:r>
      <w:r w:rsidR="007E748E">
        <w:rPr>
          <w:rFonts w:ascii="Verdana" w:hAnsi="Verdana"/>
          <w:b/>
          <w:sz w:val="22"/>
          <w:szCs w:val="22"/>
          <w:lang w:val="el-GR"/>
        </w:rPr>
        <w:br/>
      </w:r>
      <w:r w:rsidR="00356C27" w:rsidRPr="00A41C3C">
        <w:rPr>
          <w:rFonts w:ascii="Verdana" w:hAnsi="Verdana"/>
          <w:b/>
          <w:sz w:val="22"/>
          <w:szCs w:val="22"/>
          <w:lang w:val="el-GR"/>
        </w:rPr>
        <w:t xml:space="preserve">του Εθνικού Κέντρου Τεκμηρίωσης </w:t>
      </w:r>
    </w:p>
    <w:p w:rsidR="00356C27" w:rsidRDefault="00356C27" w:rsidP="00356C27">
      <w:pPr>
        <w:jc w:val="center"/>
        <w:rPr>
          <w:rFonts w:ascii="Verdana" w:hAnsi="Verdana"/>
          <w:i/>
          <w:sz w:val="22"/>
          <w:szCs w:val="22"/>
          <w:lang w:val="el-GR"/>
        </w:rPr>
      </w:pPr>
      <w:r>
        <w:rPr>
          <w:rFonts w:ascii="Verdana" w:hAnsi="Verdana"/>
          <w:i/>
          <w:sz w:val="22"/>
          <w:szCs w:val="22"/>
          <w:lang w:val="el-GR"/>
        </w:rPr>
        <w:t xml:space="preserve">Νέα έκδοση του ΕΚΤ "Βασικοί Δείκτες </w:t>
      </w:r>
      <w:r w:rsidRPr="00A41C3C">
        <w:rPr>
          <w:rFonts w:ascii="Verdana" w:hAnsi="Verdana"/>
          <w:i/>
          <w:sz w:val="22"/>
          <w:szCs w:val="22"/>
          <w:lang w:val="el-GR"/>
        </w:rPr>
        <w:t xml:space="preserve">Έρευνας &amp; Ανάπτυξης για δαπάνες </w:t>
      </w:r>
    </w:p>
    <w:p w:rsidR="00356C27" w:rsidRPr="006A21EB" w:rsidRDefault="00356C27" w:rsidP="00356C27">
      <w:pPr>
        <w:jc w:val="center"/>
        <w:rPr>
          <w:rFonts w:ascii="Verdana" w:hAnsi="Verdana"/>
          <w:i/>
          <w:sz w:val="22"/>
          <w:szCs w:val="22"/>
          <w:lang w:val="el-GR"/>
        </w:rPr>
      </w:pPr>
      <w:r w:rsidRPr="00A41C3C">
        <w:rPr>
          <w:rFonts w:ascii="Verdana" w:hAnsi="Verdana"/>
          <w:i/>
          <w:sz w:val="22"/>
          <w:szCs w:val="22"/>
          <w:lang w:val="el-GR"/>
        </w:rPr>
        <w:t>και προσωπικό το 201</w:t>
      </w:r>
      <w:r>
        <w:rPr>
          <w:rFonts w:ascii="Verdana" w:hAnsi="Verdana"/>
          <w:i/>
          <w:sz w:val="22"/>
          <w:szCs w:val="22"/>
          <w:lang w:val="el-GR"/>
        </w:rPr>
        <w:t>5</w:t>
      </w:r>
      <w:r w:rsidRPr="00A41C3C">
        <w:rPr>
          <w:rFonts w:ascii="Verdana" w:hAnsi="Verdana"/>
          <w:i/>
          <w:sz w:val="22"/>
          <w:szCs w:val="22"/>
          <w:lang w:val="el-GR"/>
        </w:rPr>
        <w:t xml:space="preserve"> στην Ελλάδα</w:t>
      </w:r>
      <w:r>
        <w:rPr>
          <w:rFonts w:ascii="Verdana" w:hAnsi="Verdana"/>
          <w:i/>
          <w:sz w:val="22"/>
          <w:szCs w:val="22"/>
          <w:lang w:val="el-GR"/>
        </w:rPr>
        <w:t xml:space="preserve">" </w:t>
      </w:r>
    </w:p>
    <w:p w:rsidR="00356C27" w:rsidRPr="00E139F5" w:rsidRDefault="00356C27" w:rsidP="00356C27">
      <w:pPr>
        <w:jc w:val="center"/>
        <w:rPr>
          <w:rFonts w:ascii="Verdana" w:hAnsi="Verdana"/>
          <w:sz w:val="16"/>
          <w:szCs w:val="16"/>
          <w:lang w:val="el-GR" w:eastAsia="el-GR"/>
        </w:rPr>
      </w:pPr>
      <w:r w:rsidRPr="00E139F5">
        <w:rPr>
          <w:rFonts w:ascii="Verdana" w:hAnsi="Verdana"/>
          <w:i/>
          <w:sz w:val="16"/>
          <w:szCs w:val="16"/>
          <w:lang w:val="el-GR"/>
        </w:rPr>
        <w:t xml:space="preserve"> </w:t>
      </w:r>
      <w:r w:rsidRPr="00E139F5">
        <w:rPr>
          <w:rFonts w:ascii="Verdana" w:hAnsi="Verdana"/>
          <w:b/>
          <w:sz w:val="16"/>
          <w:szCs w:val="16"/>
          <w:lang w:val="el-GR"/>
        </w:rPr>
        <w:t xml:space="preserve"> </w:t>
      </w:r>
    </w:p>
    <w:p w:rsidR="00356C27" w:rsidRDefault="00356C27" w:rsidP="00356C27">
      <w:pPr>
        <w:jc w:val="both"/>
        <w:rPr>
          <w:rFonts w:ascii="Verdana" w:hAnsi="Verdana"/>
          <w:sz w:val="20"/>
          <w:lang w:val="el-GR" w:eastAsia="el-GR"/>
        </w:rPr>
      </w:pPr>
      <w:r>
        <w:rPr>
          <w:rFonts w:ascii="Verdana" w:hAnsi="Verdana"/>
          <w:sz w:val="20"/>
          <w:lang w:val="el-GR" w:eastAsia="el-GR"/>
        </w:rPr>
        <w:t xml:space="preserve">Τα τελικά στατιστικά στοιχεία και δείκτες </w:t>
      </w:r>
      <w:r w:rsidRPr="006A21EB">
        <w:rPr>
          <w:rFonts w:ascii="Verdana" w:hAnsi="Verdana"/>
          <w:sz w:val="20"/>
          <w:lang w:val="el-GR" w:eastAsia="el-GR"/>
        </w:rPr>
        <w:t xml:space="preserve">για την Έρευνα και Ανάπτυξη </w:t>
      </w:r>
      <w:r>
        <w:rPr>
          <w:rFonts w:ascii="Verdana" w:hAnsi="Verdana"/>
          <w:sz w:val="20"/>
          <w:lang w:val="el-GR" w:eastAsia="el-GR"/>
        </w:rPr>
        <w:t xml:space="preserve">(Ε&amp;Α) </w:t>
      </w:r>
      <w:r w:rsidRPr="006A21EB">
        <w:rPr>
          <w:rFonts w:ascii="Verdana" w:hAnsi="Verdana"/>
          <w:sz w:val="20"/>
          <w:lang w:val="el-GR" w:eastAsia="el-GR"/>
        </w:rPr>
        <w:t>στην Ελλάδα το 201</w:t>
      </w:r>
      <w:r>
        <w:rPr>
          <w:rFonts w:ascii="Verdana" w:hAnsi="Verdana"/>
          <w:sz w:val="20"/>
          <w:lang w:val="el-GR" w:eastAsia="el-GR"/>
        </w:rPr>
        <w:t xml:space="preserve">5 παρουσιάζονται στη νέα έκδοση του Εθνικού Κέντρου Τεκμηρίωσης (ΕΚΤ) με τίτλο "Βασικοί </w:t>
      </w:r>
      <w:r w:rsidRPr="00DE69B9">
        <w:rPr>
          <w:rFonts w:ascii="Verdana" w:hAnsi="Verdana"/>
          <w:sz w:val="20"/>
          <w:lang w:val="el-GR" w:eastAsia="el-GR"/>
        </w:rPr>
        <w:t xml:space="preserve">Δείκτες Έρευνας &amp; Ανάπτυξης για δαπάνες </w:t>
      </w:r>
      <w:r>
        <w:rPr>
          <w:rFonts w:ascii="Verdana" w:hAnsi="Verdana"/>
          <w:sz w:val="20"/>
          <w:lang w:val="el-GR" w:eastAsia="el-GR"/>
        </w:rPr>
        <w:t>και προσωπικό το</w:t>
      </w:r>
      <w:r w:rsidRPr="00DE69B9">
        <w:rPr>
          <w:rFonts w:ascii="Verdana" w:hAnsi="Verdana"/>
          <w:sz w:val="20"/>
          <w:lang w:val="el-GR" w:eastAsia="el-GR"/>
        </w:rPr>
        <w:t xml:space="preserve"> 201</w:t>
      </w:r>
      <w:r>
        <w:rPr>
          <w:rFonts w:ascii="Verdana" w:hAnsi="Verdana"/>
          <w:sz w:val="20"/>
          <w:lang w:val="el-GR" w:eastAsia="el-GR"/>
        </w:rPr>
        <w:t>5</w:t>
      </w:r>
      <w:r w:rsidRPr="00DE69B9">
        <w:rPr>
          <w:rFonts w:ascii="Verdana" w:hAnsi="Verdana"/>
          <w:sz w:val="20"/>
          <w:lang w:val="el-GR" w:eastAsia="el-GR"/>
        </w:rPr>
        <w:t xml:space="preserve"> </w:t>
      </w:r>
      <w:bookmarkStart w:id="0" w:name="_GoBack"/>
      <w:bookmarkEnd w:id="0"/>
      <w:r w:rsidRPr="00DE69B9">
        <w:rPr>
          <w:rFonts w:ascii="Verdana" w:hAnsi="Verdana"/>
          <w:sz w:val="20"/>
          <w:lang w:val="el-GR" w:eastAsia="el-GR"/>
        </w:rPr>
        <w:t>στην Ελλάδα</w:t>
      </w:r>
      <w:r>
        <w:rPr>
          <w:rFonts w:ascii="Verdana" w:hAnsi="Verdana"/>
          <w:sz w:val="20"/>
          <w:lang w:val="el-GR" w:eastAsia="el-GR"/>
        </w:rPr>
        <w:t>"</w:t>
      </w:r>
      <w:r w:rsidR="001454F4" w:rsidRPr="001454F4">
        <w:rPr>
          <w:lang w:val="el-GR"/>
        </w:rPr>
        <w:t xml:space="preserve"> </w:t>
      </w:r>
      <w:r w:rsidR="001454F4">
        <w:rPr>
          <w:lang w:val="el-GR"/>
        </w:rPr>
        <w:t>(</w:t>
      </w:r>
      <w:hyperlink r:id="rId10" w:history="1">
        <w:r w:rsidR="001454F4" w:rsidRPr="009C3303">
          <w:rPr>
            <w:rStyle w:val="-"/>
            <w:rFonts w:ascii="Verdana" w:hAnsi="Verdana"/>
            <w:sz w:val="20"/>
            <w:lang w:val="el-GR" w:eastAsia="el-GR"/>
          </w:rPr>
          <w:t>http://metrics.ekt.gr/el/node/339</w:t>
        </w:r>
      </w:hyperlink>
      <w:r w:rsidR="001454F4">
        <w:rPr>
          <w:rFonts w:ascii="Verdana" w:hAnsi="Verdana"/>
          <w:sz w:val="20"/>
          <w:lang w:val="el-GR" w:eastAsia="el-GR"/>
        </w:rPr>
        <w:t xml:space="preserve">). </w:t>
      </w:r>
      <w:r w:rsidRPr="00A35E84">
        <w:rPr>
          <w:rFonts w:ascii="Verdana" w:hAnsi="Verdana"/>
          <w:sz w:val="20"/>
          <w:lang w:val="el-GR" w:eastAsia="el-GR"/>
        </w:rPr>
        <w:t>Η δημοσίευση των δεικτών εντάσσεται στο πλαίσιο της τακτικής παραγωγής και έκδοσης των επίσημων στατιστικών για την Έρευνα, Ανάπτυξη και Καινοτομία στην Ελλάδα, που πραγματοποιεί το ΕΚΤ σε συνεργασία με την Ελληνική Στατιστική Αρχή.</w:t>
      </w:r>
    </w:p>
    <w:p w:rsidR="00897F0D" w:rsidRPr="008F7AF3" w:rsidRDefault="00897F0D" w:rsidP="00356C27">
      <w:pPr>
        <w:jc w:val="both"/>
        <w:rPr>
          <w:rFonts w:ascii="Verdana" w:hAnsi="Verdana"/>
          <w:sz w:val="12"/>
          <w:lang w:val="el-GR" w:eastAsia="el-GR"/>
        </w:rPr>
      </w:pPr>
    </w:p>
    <w:p w:rsidR="00BF5FB5" w:rsidRPr="00A35E84" w:rsidRDefault="00356C27" w:rsidP="00BF5FB5">
      <w:pPr>
        <w:jc w:val="both"/>
        <w:rPr>
          <w:rFonts w:ascii="Verdana" w:eastAsia="Calibri" w:hAnsi="Verdana"/>
          <w:sz w:val="20"/>
          <w:lang w:val="el-GR"/>
        </w:rPr>
      </w:pPr>
      <w:r>
        <w:rPr>
          <w:rFonts w:ascii="Verdana" w:hAnsi="Verdana"/>
          <w:sz w:val="20"/>
          <w:lang w:val="el-GR" w:eastAsia="el-GR"/>
        </w:rPr>
        <w:t xml:space="preserve">Σύμφωνα με τα στοιχεία, </w:t>
      </w:r>
      <w:r w:rsidR="00897F0D">
        <w:rPr>
          <w:rFonts w:ascii="Verdana" w:hAnsi="Verdana"/>
          <w:sz w:val="20"/>
          <w:lang w:val="el-GR" w:eastAsia="el-GR"/>
        </w:rPr>
        <w:t>το 2015 στην Ελλάδα δαπανήθηκαν 1</w:t>
      </w:r>
      <w:r w:rsidR="00252307">
        <w:rPr>
          <w:rFonts w:ascii="Verdana" w:hAnsi="Verdana"/>
          <w:sz w:val="20"/>
          <w:lang w:val="el-GR" w:eastAsia="el-GR"/>
        </w:rPr>
        <w:t>.</w:t>
      </w:r>
      <w:r w:rsidR="00897F0D">
        <w:rPr>
          <w:rFonts w:ascii="Verdana" w:hAnsi="Verdana"/>
          <w:sz w:val="20"/>
          <w:lang w:val="el-GR" w:eastAsia="el-GR"/>
        </w:rPr>
        <w:t xml:space="preserve">703,8 εκατ. </w:t>
      </w:r>
      <w:r w:rsidR="006D65F0" w:rsidRPr="006D65F0">
        <w:rPr>
          <w:rFonts w:ascii="Verdana" w:hAnsi="Verdana"/>
          <w:sz w:val="20"/>
          <w:lang w:val="el-GR" w:eastAsia="el-GR"/>
        </w:rPr>
        <w:t>ε</w:t>
      </w:r>
      <w:r w:rsidR="00897F0D">
        <w:rPr>
          <w:rFonts w:ascii="Verdana" w:hAnsi="Verdana"/>
          <w:sz w:val="20"/>
          <w:lang w:val="el-GR" w:eastAsia="el-GR"/>
        </w:rPr>
        <w:t xml:space="preserve">υρώ για Ε&amp;Α, κατά </w:t>
      </w:r>
      <w:r w:rsidR="00897F0D" w:rsidRPr="00897F0D">
        <w:rPr>
          <w:rFonts w:ascii="Verdana" w:hAnsi="Verdana"/>
          <w:sz w:val="20"/>
          <w:lang w:val="el-GR" w:eastAsia="el-GR"/>
        </w:rPr>
        <w:t>215,1</w:t>
      </w:r>
      <w:r w:rsidR="00897F0D">
        <w:rPr>
          <w:rFonts w:ascii="Verdana" w:hAnsi="Verdana"/>
          <w:sz w:val="20"/>
          <w:lang w:val="el-GR" w:eastAsia="el-GR"/>
        </w:rPr>
        <w:t xml:space="preserve"> </w:t>
      </w:r>
      <w:r w:rsidR="00897F0D" w:rsidRPr="00897F0D">
        <w:rPr>
          <w:rFonts w:ascii="Verdana" w:hAnsi="Verdana"/>
          <w:sz w:val="20"/>
          <w:lang w:val="el-GR" w:eastAsia="el-GR"/>
        </w:rPr>
        <w:t xml:space="preserve">εκατ. </w:t>
      </w:r>
      <w:r w:rsidR="006D65F0">
        <w:rPr>
          <w:rFonts w:ascii="Verdana" w:hAnsi="Verdana"/>
          <w:sz w:val="20"/>
          <w:lang w:val="el-GR" w:eastAsia="el-GR"/>
        </w:rPr>
        <w:t>ε</w:t>
      </w:r>
      <w:r w:rsidR="00897F0D" w:rsidRPr="00897F0D">
        <w:rPr>
          <w:rFonts w:ascii="Verdana" w:hAnsi="Verdana"/>
          <w:sz w:val="20"/>
          <w:lang w:val="el-GR" w:eastAsia="el-GR"/>
        </w:rPr>
        <w:t xml:space="preserve">υρώ </w:t>
      </w:r>
      <w:r w:rsidR="00897F0D">
        <w:rPr>
          <w:rFonts w:ascii="Verdana" w:hAnsi="Verdana"/>
          <w:sz w:val="20"/>
          <w:lang w:val="el-GR" w:eastAsia="el-GR"/>
        </w:rPr>
        <w:t xml:space="preserve">υψηλότερα από το 2014 </w:t>
      </w:r>
      <w:r w:rsidR="00897F0D" w:rsidRPr="00897F0D">
        <w:rPr>
          <w:rFonts w:ascii="Verdana" w:hAnsi="Verdana"/>
          <w:sz w:val="20"/>
          <w:lang w:val="el-GR" w:eastAsia="el-GR"/>
        </w:rPr>
        <w:t>(ποσοστό</w:t>
      </w:r>
      <w:r w:rsidR="00897F0D">
        <w:rPr>
          <w:rFonts w:ascii="Verdana" w:hAnsi="Verdana"/>
          <w:sz w:val="20"/>
          <w:lang w:val="el-GR" w:eastAsia="el-GR"/>
        </w:rPr>
        <w:t xml:space="preserve"> </w:t>
      </w:r>
      <w:r w:rsidR="00897F0D" w:rsidRPr="00897F0D">
        <w:rPr>
          <w:rFonts w:ascii="Verdana" w:hAnsi="Verdana"/>
          <w:sz w:val="20"/>
          <w:lang w:val="el-GR" w:eastAsia="el-GR"/>
        </w:rPr>
        <w:t>αύξησης 14,4%)</w:t>
      </w:r>
      <w:r w:rsidR="00897F0D">
        <w:rPr>
          <w:rFonts w:ascii="Verdana" w:hAnsi="Verdana"/>
          <w:sz w:val="20"/>
          <w:lang w:val="el-GR" w:eastAsia="el-GR"/>
        </w:rPr>
        <w:t>.</w:t>
      </w:r>
      <w:r w:rsidR="00897F0D" w:rsidRPr="00897F0D">
        <w:rPr>
          <w:rFonts w:ascii="Verdana" w:hAnsi="Verdana"/>
          <w:sz w:val="20"/>
          <w:lang w:val="el-GR" w:eastAsia="el-GR"/>
        </w:rPr>
        <w:t xml:space="preserve"> </w:t>
      </w:r>
      <w:r w:rsidR="00252307" w:rsidRPr="00A35E84">
        <w:rPr>
          <w:rFonts w:ascii="Verdana" w:eastAsia="Calibri" w:hAnsi="Verdana"/>
          <w:sz w:val="20"/>
          <w:lang w:val="el-GR"/>
        </w:rPr>
        <w:t xml:space="preserve">Ο δείκτης "Ένταση Ε&amp;Α", που εκφράζει τις δαπάνες Ε&amp;Α ως ποσοστό του ΑΕΠ, </w:t>
      </w:r>
      <w:r w:rsidR="00252307">
        <w:rPr>
          <w:rFonts w:ascii="Verdana" w:eastAsia="Calibri" w:hAnsi="Verdana"/>
          <w:sz w:val="20"/>
          <w:lang w:val="el-GR"/>
        </w:rPr>
        <w:t>διαμορφώθηκε σ</w:t>
      </w:r>
      <w:r>
        <w:rPr>
          <w:rFonts w:ascii="Verdana" w:hAnsi="Verdana"/>
          <w:sz w:val="20"/>
          <w:lang w:val="el-GR" w:eastAsia="el-GR"/>
        </w:rPr>
        <w:t>το 0,97%</w:t>
      </w:r>
      <w:r w:rsidR="006D65F0">
        <w:rPr>
          <w:rFonts w:ascii="Verdana" w:hAnsi="Verdana"/>
          <w:sz w:val="20"/>
          <w:lang w:val="el-GR" w:eastAsia="el-GR"/>
        </w:rPr>
        <w:t>,</w:t>
      </w:r>
      <w:r w:rsidR="00BF5FB5">
        <w:rPr>
          <w:rFonts w:ascii="Verdana" w:hAnsi="Verdana"/>
          <w:sz w:val="20"/>
          <w:lang w:val="el-GR" w:eastAsia="el-GR"/>
        </w:rPr>
        <w:t xml:space="preserve"> </w:t>
      </w:r>
      <w:r w:rsidR="006D65F0">
        <w:rPr>
          <w:rFonts w:ascii="Verdana" w:hAnsi="Verdana"/>
          <w:sz w:val="20"/>
          <w:lang w:val="el-GR" w:eastAsia="el-GR"/>
        </w:rPr>
        <w:t>α</w:t>
      </w:r>
      <w:r w:rsidRPr="00A35E84">
        <w:rPr>
          <w:rFonts w:ascii="Verdana" w:eastAsia="Calibri" w:hAnsi="Verdana"/>
          <w:sz w:val="20"/>
          <w:lang w:val="el-GR"/>
        </w:rPr>
        <w:t>πό 0,84% το 2014</w:t>
      </w:r>
      <w:r w:rsidR="00897F0D" w:rsidRPr="00897F0D">
        <w:rPr>
          <w:rFonts w:ascii="Verdana" w:hAnsi="Verdana"/>
          <w:sz w:val="20"/>
          <w:lang w:val="el-GR" w:eastAsia="el-GR"/>
        </w:rPr>
        <w:t>.</w:t>
      </w:r>
      <w:r>
        <w:rPr>
          <w:rFonts w:ascii="Verdana" w:hAnsi="Verdana"/>
          <w:sz w:val="20"/>
          <w:lang w:val="el-GR" w:eastAsia="el-GR"/>
        </w:rPr>
        <w:t xml:space="preserve"> </w:t>
      </w:r>
      <w:r w:rsidR="00BF5FB5">
        <w:rPr>
          <w:rFonts w:ascii="Verdana" w:eastAsia="Calibri" w:hAnsi="Verdana"/>
          <w:sz w:val="20"/>
          <w:lang w:val="el-GR"/>
        </w:rPr>
        <w:t>Η</w:t>
      </w:r>
      <w:r w:rsidR="00BF5FB5" w:rsidRPr="00A35E84">
        <w:rPr>
          <w:rFonts w:ascii="Verdana" w:eastAsia="Calibri" w:hAnsi="Verdana"/>
          <w:sz w:val="20"/>
          <w:lang w:val="el-GR"/>
        </w:rPr>
        <w:t xml:space="preserve"> αύξηση τ</w:t>
      </w:r>
      <w:r w:rsidR="00BF5FB5">
        <w:rPr>
          <w:rFonts w:ascii="Verdana" w:eastAsia="Calibri" w:hAnsi="Verdana"/>
          <w:sz w:val="20"/>
          <w:lang w:val="el-GR"/>
        </w:rPr>
        <w:t xml:space="preserve">ων δαπανών </w:t>
      </w:r>
      <w:r w:rsidR="00BF5FB5" w:rsidRPr="00A35E84">
        <w:rPr>
          <w:rFonts w:ascii="Verdana" w:eastAsia="Calibri" w:hAnsi="Verdana"/>
          <w:sz w:val="20"/>
          <w:lang w:val="el-GR"/>
        </w:rPr>
        <w:t xml:space="preserve">Ε&amp;Α μεταφράζεται και σε βελτίωση της </w:t>
      </w:r>
      <w:r w:rsidR="00BF5FB5" w:rsidRPr="00A35E84">
        <w:rPr>
          <w:rFonts w:ascii="Verdana" w:hAnsi="Verdana"/>
          <w:sz w:val="20"/>
          <w:lang w:val="el-GR" w:eastAsia="el-GR"/>
        </w:rPr>
        <w:t>σχετικής</w:t>
      </w:r>
      <w:r w:rsidR="00BF5FB5" w:rsidRPr="00A35E84">
        <w:rPr>
          <w:rFonts w:ascii="Verdana" w:eastAsia="Calibri" w:hAnsi="Verdana"/>
          <w:sz w:val="20"/>
          <w:lang w:val="el-GR"/>
        </w:rPr>
        <w:t xml:space="preserve"> θέσης της χώρας μεταξύ των κρατών μελών της ΕΕ. </w:t>
      </w:r>
      <w:r w:rsidR="00BF5FB5" w:rsidRPr="00B26F27">
        <w:rPr>
          <w:rFonts w:ascii="Verdana" w:eastAsia="Calibri" w:hAnsi="Verdana"/>
          <w:sz w:val="20"/>
          <w:lang w:val="el-GR"/>
        </w:rPr>
        <w:t>Η Ελλάδα βρίσκεται στην 16</w:t>
      </w:r>
      <w:r w:rsidR="00BF5FB5" w:rsidRPr="00B26F27">
        <w:rPr>
          <w:rFonts w:ascii="Verdana" w:eastAsia="Calibri" w:hAnsi="Verdana"/>
          <w:sz w:val="20"/>
          <w:vertAlign w:val="superscript"/>
          <w:lang w:val="el-GR"/>
        </w:rPr>
        <w:t>η</w:t>
      </w:r>
      <w:r w:rsidR="00BF5FB5">
        <w:rPr>
          <w:rFonts w:ascii="Verdana" w:eastAsia="Calibri" w:hAnsi="Verdana"/>
          <w:sz w:val="20"/>
          <w:lang w:val="el-GR"/>
        </w:rPr>
        <w:t xml:space="preserve"> </w:t>
      </w:r>
      <w:r w:rsidR="00BF5FB5" w:rsidRPr="00B26F27">
        <w:rPr>
          <w:rFonts w:ascii="Verdana" w:eastAsia="Calibri" w:hAnsi="Verdana"/>
          <w:sz w:val="20"/>
          <w:lang w:val="el-GR"/>
        </w:rPr>
        <w:t>θέση ως προς τις δαπάνες Ε&amp;Α και στην 2</w:t>
      </w:r>
      <w:r w:rsidR="00BF5FB5">
        <w:rPr>
          <w:rFonts w:ascii="Verdana" w:eastAsia="Calibri" w:hAnsi="Verdana"/>
          <w:sz w:val="20"/>
          <w:lang w:val="el-GR"/>
        </w:rPr>
        <w:t>2</w:t>
      </w:r>
      <w:r w:rsidR="00BF5FB5" w:rsidRPr="00BF5FB5">
        <w:rPr>
          <w:rFonts w:ascii="Verdana" w:eastAsia="Calibri" w:hAnsi="Verdana"/>
          <w:sz w:val="20"/>
          <w:vertAlign w:val="superscript"/>
          <w:lang w:val="el-GR"/>
        </w:rPr>
        <w:t>η</w:t>
      </w:r>
      <w:r w:rsidR="00BF5FB5">
        <w:rPr>
          <w:rFonts w:ascii="Verdana" w:eastAsia="Calibri" w:hAnsi="Verdana"/>
          <w:sz w:val="20"/>
          <w:lang w:val="el-GR"/>
        </w:rPr>
        <w:t xml:space="preserve"> </w:t>
      </w:r>
      <w:r w:rsidR="00BF5FB5" w:rsidRPr="00B26F27">
        <w:rPr>
          <w:rFonts w:ascii="Verdana" w:eastAsia="Calibri" w:hAnsi="Verdana"/>
          <w:sz w:val="20"/>
          <w:lang w:val="el-GR"/>
        </w:rPr>
        <w:t>θέση σε ό,τι αφορά την Ένταση Ε&amp;Α.</w:t>
      </w:r>
      <w:r w:rsidR="00BF5FB5">
        <w:rPr>
          <w:rFonts w:ascii="Verdana" w:eastAsia="Calibri" w:hAnsi="Verdana"/>
          <w:sz w:val="20"/>
          <w:lang w:val="el-GR"/>
        </w:rPr>
        <w:t xml:space="preserve"> Ο ευρωπαϊκός μέσος όρος για την Ένταση Ε&amp;Α ήταν 2,03%. </w:t>
      </w:r>
    </w:p>
    <w:p w:rsidR="00546701" w:rsidRPr="008F7AF3" w:rsidRDefault="00546701" w:rsidP="00356C27">
      <w:pPr>
        <w:jc w:val="both"/>
        <w:rPr>
          <w:rFonts w:ascii="Verdana" w:hAnsi="Verdana"/>
          <w:sz w:val="12"/>
          <w:lang w:val="el-GR" w:eastAsia="el-GR"/>
        </w:rPr>
      </w:pPr>
    </w:p>
    <w:p w:rsidR="008D3952" w:rsidRDefault="00252307" w:rsidP="00356C27">
      <w:pPr>
        <w:jc w:val="both"/>
        <w:rPr>
          <w:rFonts w:ascii="Verdana" w:hAnsi="Verdana"/>
          <w:sz w:val="20"/>
          <w:lang w:val="el-GR" w:eastAsia="el-GR"/>
        </w:rPr>
      </w:pPr>
      <w:r w:rsidRPr="00252307">
        <w:rPr>
          <w:rFonts w:ascii="Verdana" w:hAnsi="Verdana"/>
          <w:sz w:val="20"/>
          <w:lang w:val="el-GR" w:eastAsia="el-GR"/>
        </w:rPr>
        <w:t xml:space="preserve">Η σημαντική αύξηση των δαπανών Ε&amp;Α </w:t>
      </w:r>
      <w:r w:rsidR="008D3952">
        <w:rPr>
          <w:rFonts w:ascii="Verdana" w:hAnsi="Verdana"/>
          <w:sz w:val="20"/>
          <w:lang w:val="el-GR" w:eastAsia="el-GR"/>
        </w:rPr>
        <w:t xml:space="preserve">είχε </w:t>
      </w:r>
      <w:r w:rsidRPr="00252307">
        <w:rPr>
          <w:rFonts w:ascii="Verdana" w:hAnsi="Verdana"/>
          <w:sz w:val="20"/>
          <w:lang w:val="el-GR" w:eastAsia="el-GR"/>
        </w:rPr>
        <w:t>ως αποτέλεσμα την επίσης σημαντική αύξηση στην απασχόληση σε δραστηριότητες Ε&amp;Α. Το 2015, ο αριθμός των Ισοδυνάμων Πλήρους Απασχόλησης (ΙΠΑ), που αποδίδουν "θέσεις" πλήρους απασχόλησης, καθώς ένα ΙΠΑ είναι ισοδύναμο με έναν εργαζόμενο πλήρους απασχόλησης, αυξ</w:t>
      </w:r>
      <w:r w:rsidR="008D3952">
        <w:rPr>
          <w:rFonts w:ascii="Verdana" w:hAnsi="Verdana"/>
          <w:sz w:val="20"/>
          <w:lang w:val="el-GR" w:eastAsia="el-GR"/>
        </w:rPr>
        <w:t>ήθηκε</w:t>
      </w:r>
      <w:r w:rsidRPr="00252307">
        <w:rPr>
          <w:rFonts w:ascii="Verdana" w:hAnsi="Verdana"/>
          <w:sz w:val="20"/>
          <w:lang w:val="el-GR" w:eastAsia="el-GR"/>
        </w:rPr>
        <w:t xml:space="preserve"> σε σχέση με το 2014, τόσο για το συνολικό προσωπικό σε Ε&amp;Α όσο και για τους ερευνητές.  Το συνολικό προσωπικό σε Ε&amp;Α το 2015 αν</w:t>
      </w:r>
      <w:r w:rsidR="008D3952">
        <w:rPr>
          <w:rFonts w:ascii="Verdana" w:hAnsi="Verdana"/>
          <w:sz w:val="20"/>
          <w:lang w:val="el-GR" w:eastAsia="el-GR"/>
        </w:rPr>
        <w:t xml:space="preserve">ήλθε </w:t>
      </w:r>
      <w:r w:rsidRPr="00252307">
        <w:rPr>
          <w:rFonts w:ascii="Verdana" w:hAnsi="Verdana"/>
          <w:sz w:val="20"/>
          <w:lang w:val="el-GR" w:eastAsia="el-GR"/>
        </w:rPr>
        <w:t xml:space="preserve">σε </w:t>
      </w:r>
      <w:r w:rsidR="008D3952" w:rsidRPr="00546701">
        <w:rPr>
          <w:rFonts w:ascii="Verdana" w:hAnsi="Verdana"/>
          <w:sz w:val="20"/>
          <w:lang w:val="el-GR" w:eastAsia="el-GR"/>
        </w:rPr>
        <w:t xml:space="preserve">49.658 </w:t>
      </w:r>
      <w:r w:rsidRPr="00252307">
        <w:rPr>
          <w:rFonts w:ascii="Verdana" w:hAnsi="Verdana"/>
          <w:sz w:val="20"/>
          <w:lang w:val="el-GR" w:eastAsia="el-GR"/>
        </w:rPr>
        <w:t xml:space="preserve">ΙΠΑ και οι ερευνητές σε </w:t>
      </w:r>
      <w:r w:rsidR="008D3952" w:rsidRPr="00546701">
        <w:rPr>
          <w:rFonts w:ascii="Verdana" w:hAnsi="Verdana"/>
          <w:sz w:val="20"/>
          <w:lang w:val="el-GR" w:eastAsia="el-GR"/>
        </w:rPr>
        <w:t xml:space="preserve">34.708,3 </w:t>
      </w:r>
      <w:r w:rsidRPr="00252307">
        <w:rPr>
          <w:rFonts w:ascii="Verdana" w:hAnsi="Verdana"/>
          <w:sz w:val="20"/>
          <w:lang w:val="el-GR" w:eastAsia="el-GR"/>
        </w:rPr>
        <w:t xml:space="preserve">ΙΠΑ. </w:t>
      </w:r>
    </w:p>
    <w:p w:rsidR="00BF5FB5" w:rsidRPr="008F7AF3" w:rsidRDefault="00BF5FB5" w:rsidP="00356C27">
      <w:pPr>
        <w:jc w:val="both"/>
        <w:rPr>
          <w:rFonts w:ascii="Verdana" w:hAnsi="Verdana"/>
          <w:sz w:val="12"/>
          <w:lang w:val="el-GR" w:eastAsia="el-GR"/>
        </w:rPr>
      </w:pPr>
    </w:p>
    <w:p w:rsidR="008D3952" w:rsidRDefault="00BF5FB5" w:rsidP="00356C27">
      <w:pPr>
        <w:jc w:val="both"/>
        <w:rPr>
          <w:rFonts w:ascii="Verdana" w:hAnsi="Verdana"/>
          <w:sz w:val="20"/>
          <w:lang w:val="el-GR" w:eastAsia="el-GR"/>
        </w:rPr>
      </w:pPr>
      <w:r w:rsidRPr="00BF5FB5">
        <w:rPr>
          <w:rFonts w:ascii="Verdana" w:hAnsi="Verdana"/>
          <w:sz w:val="20"/>
          <w:lang w:val="el-GR" w:eastAsia="el-GR"/>
        </w:rPr>
        <w:t>Με βάση τα στοιχεία προσωπικού, ο δείκτης έντασης απασχόλησης σε Ε&amp;Α, εκφρασμένος ως ποσοστό των ΙΠΑ στο σύνολο της απασχόλησης της χώρας, διαμορφώ</w:t>
      </w:r>
      <w:r>
        <w:rPr>
          <w:rFonts w:ascii="Verdana" w:hAnsi="Verdana"/>
          <w:sz w:val="20"/>
          <w:lang w:val="el-GR" w:eastAsia="el-GR"/>
        </w:rPr>
        <w:t xml:space="preserve">θηκε </w:t>
      </w:r>
      <w:r w:rsidRPr="00BF5FB5">
        <w:rPr>
          <w:rFonts w:ascii="Verdana" w:hAnsi="Verdana"/>
          <w:sz w:val="20"/>
          <w:lang w:val="el-GR" w:eastAsia="el-GR"/>
        </w:rPr>
        <w:t>στο 1,</w:t>
      </w:r>
      <w:r>
        <w:rPr>
          <w:rFonts w:ascii="Verdana" w:hAnsi="Verdana"/>
          <w:sz w:val="20"/>
          <w:lang w:val="el-GR" w:eastAsia="el-GR"/>
        </w:rPr>
        <w:t>40</w:t>
      </w:r>
      <w:r w:rsidRPr="00BF5FB5">
        <w:rPr>
          <w:rFonts w:ascii="Verdana" w:hAnsi="Verdana"/>
          <w:sz w:val="20"/>
          <w:lang w:val="el-GR" w:eastAsia="el-GR"/>
        </w:rPr>
        <w:t xml:space="preserve">%, </w:t>
      </w:r>
      <w:r>
        <w:rPr>
          <w:rFonts w:ascii="Verdana" w:hAnsi="Verdana"/>
          <w:sz w:val="20"/>
          <w:lang w:val="el-GR" w:eastAsia="el-GR"/>
        </w:rPr>
        <w:t xml:space="preserve">πάνω </w:t>
      </w:r>
      <w:r w:rsidRPr="00BF5FB5">
        <w:rPr>
          <w:rFonts w:ascii="Verdana" w:hAnsi="Verdana"/>
          <w:sz w:val="20"/>
          <w:lang w:val="el-GR" w:eastAsia="el-GR"/>
        </w:rPr>
        <w:t>από τον ευρωπαϊκό μέσο όρο (1,</w:t>
      </w:r>
      <w:r>
        <w:rPr>
          <w:rFonts w:ascii="Verdana" w:hAnsi="Verdana"/>
          <w:sz w:val="20"/>
          <w:lang w:val="el-GR" w:eastAsia="el-GR"/>
        </w:rPr>
        <w:t>32</w:t>
      </w:r>
      <w:r w:rsidRPr="00BF5FB5">
        <w:rPr>
          <w:rFonts w:ascii="Verdana" w:hAnsi="Verdana"/>
          <w:sz w:val="20"/>
          <w:lang w:val="el-GR" w:eastAsia="el-GR"/>
        </w:rPr>
        <w:t>%)</w:t>
      </w:r>
      <w:r>
        <w:rPr>
          <w:rFonts w:ascii="Verdana" w:hAnsi="Verdana"/>
          <w:sz w:val="20"/>
          <w:lang w:val="el-GR" w:eastAsia="el-GR"/>
        </w:rPr>
        <w:t>, και η Ελλάδα κατατάσσεται στη 12</w:t>
      </w:r>
      <w:r w:rsidRPr="00BF5FB5">
        <w:rPr>
          <w:rFonts w:ascii="Verdana" w:hAnsi="Verdana"/>
          <w:sz w:val="20"/>
          <w:vertAlign w:val="superscript"/>
          <w:lang w:val="el-GR" w:eastAsia="el-GR"/>
        </w:rPr>
        <w:t>η</w:t>
      </w:r>
      <w:r>
        <w:rPr>
          <w:rFonts w:ascii="Verdana" w:hAnsi="Verdana"/>
          <w:sz w:val="20"/>
          <w:lang w:val="el-GR" w:eastAsia="el-GR"/>
        </w:rPr>
        <w:t xml:space="preserve"> θέση μεταξύ των κρατών μελών της ΕΕ</w:t>
      </w:r>
      <w:r w:rsidRPr="00BF5FB5">
        <w:rPr>
          <w:rFonts w:ascii="Verdana" w:hAnsi="Verdana"/>
          <w:sz w:val="20"/>
          <w:lang w:val="el-GR" w:eastAsia="el-GR"/>
        </w:rPr>
        <w:t>.</w:t>
      </w:r>
      <w:r>
        <w:rPr>
          <w:rFonts w:ascii="Verdana" w:hAnsi="Verdana"/>
          <w:sz w:val="20"/>
          <w:lang w:val="el-GR" w:eastAsia="el-GR"/>
        </w:rPr>
        <w:t xml:space="preserve"> Ο αντίστοιχος δείκτης για τους ερευνητές ήταν 0,98%, επίσης υψηλότερος από </w:t>
      </w:r>
      <w:r w:rsidRPr="00BF5FB5">
        <w:rPr>
          <w:rFonts w:ascii="Verdana" w:hAnsi="Verdana"/>
          <w:sz w:val="20"/>
          <w:lang w:val="el-GR" w:eastAsia="el-GR"/>
        </w:rPr>
        <w:t>τον ευρωπαϊκό μέσο όρο (</w:t>
      </w:r>
      <w:r>
        <w:rPr>
          <w:rFonts w:ascii="Verdana" w:hAnsi="Verdana"/>
          <w:sz w:val="20"/>
          <w:lang w:val="el-GR" w:eastAsia="el-GR"/>
        </w:rPr>
        <w:t>0,84%)</w:t>
      </w:r>
      <w:r w:rsidR="002213BB">
        <w:rPr>
          <w:rFonts w:ascii="Verdana" w:hAnsi="Verdana"/>
          <w:sz w:val="20"/>
          <w:lang w:val="el-GR" w:eastAsia="el-GR"/>
        </w:rPr>
        <w:t>,</w:t>
      </w:r>
      <w:r>
        <w:rPr>
          <w:rFonts w:ascii="Verdana" w:hAnsi="Verdana"/>
          <w:sz w:val="20"/>
          <w:lang w:val="el-GR" w:eastAsia="el-GR"/>
        </w:rPr>
        <w:t xml:space="preserve"> και η Ελλάδα βρίσκεται στην 9</w:t>
      </w:r>
      <w:r w:rsidRPr="00BF5FB5">
        <w:rPr>
          <w:rFonts w:ascii="Verdana" w:hAnsi="Verdana"/>
          <w:sz w:val="20"/>
          <w:vertAlign w:val="superscript"/>
          <w:lang w:val="el-GR" w:eastAsia="el-GR"/>
        </w:rPr>
        <w:t>η</w:t>
      </w:r>
      <w:r>
        <w:rPr>
          <w:rFonts w:ascii="Verdana" w:hAnsi="Verdana"/>
          <w:sz w:val="20"/>
          <w:lang w:val="el-GR" w:eastAsia="el-GR"/>
        </w:rPr>
        <w:t xml:space="preserve"> θέση. </w:t>
      </w:r>
    </w:p>
    <w:p w:rsidR="00BF5FB5" w:rsidRPr="008F7AF3" w:rsidRDefault="00BF5FB5" w:rsidP="00356C27">
      <w:pPr>
        <w:jc w:val="both"/>
        <w:rPr>
          <w:rFonts w:ascii="Verdana" w:hAnsi="Verdana"/>
          <w:sz w:val="12"/>
          <w:lang w:val="el-GR" w:eastAsia="el-GR"/>
        </w:rPr>
      </w:pPr>
    </w:p>
    <w:p w:rsidR="008F7AF3" w:rsidRDefault="008D253A" w:rsidP="00356C27">
      <w:pPr>
        <w:jc w:val="both"/>
        <w:rPr>
          <w:rFonts w:ascii="Verdana" w:hAnsi="Verdana"/>
          <w:sz w:val="20"/>
          <w:lang w:val="el-GR" w:eastAsia="el-GR"/>
        </w:rPr>
      </w:pPr>
      <w:r>
        <w:rPr>
          <w:rFonts w:ascii="Verdana" w:hAnsi="Verdana"/>
          <w:sz w:val="20"/>
          <w:lang w:val="el-GR" w:eastAsia="el-GR"/>
        </w:rPr>
        <w:t xml:space="preserve">Η αύξηση των δεικτών δαπανών και προσωπικού Ε&amp;Α το 2015 αφορούσε όλους τους τομείς υλοποίησης Ε&amp;Α. </w:t>
      </w:r>
    </w:p>
    <w:p w:rsidR="008F7AF3" w:rsidRPr="008F7AF3" w:rsidRDefault="008F7AF3" w:rsidP="00356C27">
      <w:pPr>
        <w:jc w:val="both"/>
        <w:rPr>
          <w:rFonts w:ascii="Verdana" w:hAnsi="Verdana"/>
          <w:sz w:val="12"/>
          <w:lang w:val="el-GR" w:eastAsia="el-GR"/>
        </w:rPr>
      </w:pPr>
    </w:p>
    <w:p w:rsidR="00C03C8D" w:rsidRDefault="008D3952" w:rsidP="00356C27">
      <w:pPr>
        <w:jc w:val="both"/>
        <w:rPr>
          <w:rFonts w:ascii="Verdana" w:hAnsi="Verdana"/>
          <w:sz w:val="20"/>
          <w:lang w:val="el-GR" w:eastAsia="el-GR"/>
        </w:rPr>
      </w:pPr>
      <w:r>
        <w:rPr>
          <w:rFonts w:ascii="Verdana" w:hAnsi="Verdana"/>
          <w:sz w:val="20"/>
          <w:lang w:val="el-GR" w:eastAsia="el-GR"/>
        </w:rPr>
        <w:t xml:space="preserve">Ο μεγαλύτερος τομέας υλοποίησης Ε&amp;Α, τόσο σε δαπάνες όσο και σε προσωπικό, είναι ο τομέας της τριτοβάθμιας και </w:t>
      </w:r>
      <w:proofErr w:type="spellStart"/>
      <w:r>
        <w:rPr>
          <w:rFonts w:ascii="Verdana" w:hAnsi="Verdana"/>
          <w:sz w:val="20"/>
          <w:lang w:val="el-GR" w:eastAsia="el-GR"/>
        </w:rPr>
        <w:t>μεταδευτεροβάθμιας</w:t>
      </w:r>
      <w:proofErr w:type="spellEnd"/>
      <w:r>
        <w:rPr>
          <w:rFonts w:ascii="Verdana" w:hAnsi="Verdana"/>
          <w:sz w:val="20"/>
          <w:lang w:val="el-GR" w:eastAsia="el-GR"/>
        </w:rPr>
        <w:t xml:space="preserve"> εκπαίδευσης. Στον τομέα πραγματοποιήθηκαν </w:t>
      </w:r>
      <w:r w:rsidR="00C03C8D">
        <w:rPr>
          <w:rFonts w:ascii="Verdana" w:hAnsi="Verdana"/>
          <w:sz w:val="20"/>
          <w:lang w:val="el-GR" w:eastAsia="el-GR"/>
        </w:rPr>
        <w:t xml:space="preserve">το 2015 </w:t>
      </w:r>
      <w:r>
        <w:rPr>
          <w:rFonts w:ascii="Verdana" w:hAnsi="Verdana"/>
          <w:sz w:val="20"/>
          <w:lang w:val="el-GR" w:eastAsia="el-GR"/>
        </w:rPr>
        <w:t xml:space="preserve">δαπάνες 643,8 εκατ. </w:t>
      </w:r>
      <w:r w:rsidR="008F7AF3">
        <w:rPr>
          <w:rFonts w:ascii="Verdana" w:hAnsi="Verdana"/>
          <w:sz w:val="20"/>
          <w:lang w:val="el-GR" w:eastAsia="el-GR"/>
        </w:rPr>
        <w:t>ε</w:t>
      </w:r>
      <w:r>
        <w:rPr>
          <w:rFonts w:ascii="Verdana" w:hAnsi="Verdana"/>
          <w:sz w:val="20"/>
          <w:lang w:val="el-GR" w:eastAsia="el-GR"/>
        </w:rPr>
        <w:t>υρώ (το 37,8% του συνόλου των δαπανών</w:t>
      </w:r>
      <w:r w:rsidR="00C03C8D">
        <w:rPr>
          <w:rFonts w:ascii="Verdana" w:hAnsi="Verdana"/>
          <w:sz w:val="20"/>
          <w:lang w:val="el-GR" w:eastAsia="el-GR"/>
        </w:rPr>
        <w:t xml:space="preserve"> </w:t>
      </w:r>
      <w:r w:rsidR="00AE1AE8">
        <w:rPr>
          <w:rFonts w:ascii="Verdana" w:hAnsi="Verdana"/>
          <w:sz w:val="20"/>
          <w:lang w:val="en-US" w:eastAsia="el-GR"/>
        </w:rPr>
        <w:t>E</w:t>
      </w:r>
      <w:r w:rsidR="00AE1AE8" w:rsidRPr="00AE1AE8">
        <w:rPr>
          <w:rFonts w:ascii="Verdana" w:hAnsi="Verdana"/>
          <w:sz w:val="20"/>
          <w:lang w:val="el-GR" w:eastAsia="el-GR"/>
        </w:rPr>
        <w:t>&amp;</w:t>
      </w:r>
      <w:r w:rsidR="00AE1AE8">
        <w:rPr>
          <w:rFonts w:ascii="Verdana" w:hAnsi="Verdana"/>
          <w:sz w:val="20"/>
          <w:lang w:val="en-US" w:eastAsia="el-GR"/>
        </w:rPr>
        <w:t>A</w:t>
      </w:r>
      <w:r w:rsidR="00AE1AE8" w:rsidRPr="00AE1AE8">
        <w:rPr>
          <w:rFonts w:ascii="Verdana" w:hAnsi="Verdana"/>
          <w:sz w:val="20"/>
          <w:lang w:val="el-GR" w:eastAsia="el-GR"/>
        </w:rPr>
        <w:t xml:space="preserve"> </w:t>
      </w:r>
      <w:r w:rsidR="00C03C8D">
        <w:rPr>
          <w:rFonts w:ascii="Verdana" w:hAnsi="Verdana"/>
          <w:sz w:val="20"/>
          <w:lang w:val="el-GR" w:eastAsia="el-GR"/>
        </w:rPr>
        <w:t>της χώρας</w:t>
      </w:r>
      <w:r>
        <w:rPr>
          <w:rFonts w:ascii="Verdana" w:hAnsi="Verdana"/>
          <w:sz w:val="20"/>
          <w:lang w:val="el-GR" w:eastAsia="el-GR"/>
        </w:rPr>
        <w:t>)</w:t>
      </w:r>
      <w:r w:rsidR="008F7AF3">
        <w:rPr>
          <w:rFonts w:ascii="Verdana" w:hAnsi="Verdana"/>
          <w:sz w:val="20"/>
          <w:lang w:val="el-GR" w:eastAsia="el-GR"/>
        </w:rPr>
        <w:t>,</w:t>
      </w:r>
      <w:r>
        <w:rPr>
          <w:rFonts w:ascii="Verdana" w:hAnsi="Verdana"/>
          <w:sz w:val="20"/>
          <w:lang w:val="el-GR" w:eastAsia="el-GR"/>
        </w:rPr>
        <w:t xml:space="preserve"> </w:t>
      </w:r>
      <w:r w:rsidR="008D253A">
        <w:rPr>
          <w:rFonts w:ascii="Verdana" w:hAnsi="Verdana"/>
          <w:sz w:val="20"/>
          <w:lang w:val="el-GR" w:eastAsia="el-GR"/>
        </w:rPr>
        <w:t>παρουσιάζοντας αύξηση κατά 16,4% σε σχέση με το 2014. Το</w:t>
      </w:r>
      <w:r>
        <w:rPr>
          <w:rFonts w:ascii="Verdana" w:hAnsi="Verdana"/>
          <w:sz w:val="20"/>
          <w:lang w:val="el-GR" w:eastAsia="el-GR"/>
        </w:rPr>
        <w:t xml:space="preserve"> συνολικό προσωπικό </w:t>
      </w:r>
      <w:r w:rsidR="00C03C8D">
        <w:rPr>
          <w:rFonts w:ascii="Verdana" w:hAnsi="Verdana"/>
          <w:sz w:val="20"/>
          <w:lang w:val="el-GR" w:eastAsia="el-GR"/>
        </w:rPr>
        <w:t xml:space="preserve">σε Ε&amp;Α έφθασε τα 27.383,5 ΙΠΑ, εκ των οποίων 22.148,9 ΙΠΑ ήταν οι ερευνητές (63,8% του συνόλου των ερευνητών). Η κύρια πηγή χρηματοδότησης των δαπανών που πραγματοποιήθηκαν στον τομέα </w:t>
      </w:r>
      <w:r w:rsidR="00C03C8D" w:rsidRPr="00C03C8D">
        <w:rPr>
          <w:rFonts w:ascii="Verdana" w:hAnsi="Verdana"/>
          <w:sz w:val="20"/>
          <w:lang w:val="el-GR" w:eastAsia="el-GR"/>
        </w:rPr>
        <w:t xml:space="preserve">της τριτοβάθμιας και </w:t>
      </w:r>
      <w:proofErr w:type="spellStart"/>
      <w:r w:rsidR="00C03C8D" w:rsidRPr="00C03C8D">
        <w:rPr>
          <w:rFonts w:ascii="Verdana" w:hAnsi="Verdana"/>
          <w:sz w:val="20"/>
          <w:lang w:val="el-GR" w:eastAsia="el-GR"/>
        </w:rPr>
        <w:t>μεταδευτεροβάθμιας</w:t>
      </w:r>
      <w:proofErr w:type="spellEnd"/>
      <w:r w:rsidR="00C03C8D" w:rsidRPr="00C03C8D">
        <w:rPr>
          <w:rFonts w:ascii="Verdana" w:hAnsi="Verdana"/>
          <w:sz w:val="20"/>
          <w:lang w:val="el-GR" w:eastAsia="el-GR"/>
        </w:rPr>
        <w:t xml:space="preserve"> εκπαίδευσης</w:t>
      </w:r>
      <w:r w:rsidR="00C03C8D">
        <w:rPr>
          <w:rFonts w:ascii="Verdana" w:hAnsi="Verdana"/>
          <w:sz w:val="20"/>
          <w:lang w:val="el-GR" w:eastAsia="el-GR"/>
        </w:rPr>
        <w:t xml:space="preserve"> ήταν το κράτος (τακτικός προϋ</w:t>
      </w:r>
      <w:r w:rsidR="008D253A">
        <w:rPr>
          <w:rFonts w:ascii="Verdana" w:hAnsi="Verdana"/>
          <w:sz w:val="20"/>
          <w:lang w:val="el-GR" w:eastAsia="el-GR"/>
        </w:rPr>
        <w:t xml:space="preserve">πολογισμός </w:t>
      </w:r>
      <w:r w:rsidR="00C03C8D">
        <w:rPr>
          <w:rFonts w:ascii="Verdana" w:hAnsi="Verdana"/>
          <w:sz w:val="20"/>
          <w:lang w:val="el-GR" w:eastAsia="el-GR"/>
        </w:rPr>
        <w:t>και ΕΣΠΑ).</w:t>
      </w:r>
    </w:p>
    <w:p w:rsidR="00C03C8D" w:rsidRPr="008F7AF3" w:rsidRDefault="00C03C8D" w:rsidP="00356C27">
      <w:pPr>
        <w:jc w:val="both"/>
        <w:rPr>
          <w:rFonts w:ascii="Verdana" w:hAnsi="Verdana"/>
          <w:sz w:val="12"/>
          <w:lang w:val="el-GR" w:eastAsia="el-GR"/>
        </w:rPr>
      </w:pPr>
    </w:p>
    <w:p w:rsidR="00252307" w:rsidRDefault="00C03C8D" w:rsidP="00356C27">
      <w:pPr>
        <w:jc w:val="both"/>
        <w:rPr>
          <w:rFonts w:ascii="Verdana" w:hAnsi="Verdana"/>
          <w:sz w:val="20"/>
          <w:lang w:val="el-GR" w:eastAsia="el-GR"/>
        </w:rPr>
      </w:pPr>
      <w:r>
        <w:rPr>
          <w:rFonts w:ascii="Verdana" w:hAnsi="Verdana"/>
          <w:sz w:val="20"/>
          <w:lang w:val="el-GR" w:eastAsia="el-GR"/>
        </w:rPr>
        <w:t xml:space="preserve">Στον τομέα των επιχειρήσεων πραγματοποιήθηκαν δαπάνες ύψους 561,6 εκατ. </w:t>
      </w:r>
      <w:r w:rsidR="008F7AF3">
        <w:rPr>
          <w:rFonts w:ascii="Verdana" w:hAnsi="Verdana"/>
          <w:sz w:val="20"/>
          <w:lang w:val="el-GR" w:eastAsia="el-GR"/>
        </w:rPr>
        <w:t>ε</w:t>
      </w:r>
      <w:r>
        <w:rPr>
          <w:rFonts w:ascii="Verdana" w:hAnsi="Verdana"/>
          <w:sz w:val="20"/>
          <w:lang w:val="el-GR" w:eastAsia="el-GR"/>
        </w:rPr>
        <w:t xml:space="preserve">υρώ, </w:t>
      </w:r>
      <w:r w:rsidR="00BF328E" w:rsidRPr="00BF328E">
        <w:rPr>
          <w:rFonts w:ascii="Verdana" w:hAnsi="Verdana"/>
          <w:sz w:val="20"/>
          <w:lang w:val="el-GR" w:eastAsia="el-GR"/>
        </w:rPr>
        <w:t>παρουσιάζοντας αύξηση 11,3% σε σχέση με το 2014</w:t>
      </w:r>
      <w:r w:rsidRPr="00C03C8D">
        <w:rPr>
          <w:rFonts w:ascii="Verdana" w:hAnsi="Verdana"/>
          <w:sz w:val="20"/>
          <w:lang w:val="el-GR" w:eastAsia="el-GR"/>
        </w:rPr>
        <w:t>.</w:t>
      </w:r>
      <w:r>
        <w:rPr>
          <w:rFonts w:ascii="Verdana" w:hAnsi="Verdana"/>
          <w:sz w:val="20"/>
          <w:lang w:val="el-GR" w:eastAsia="el-GR"/>
        </w:rPr>
        <w:t xml:space="preserve"> </w:t>
      </w:r>
      <w:r w:rsidR="00BF328E">
        <w:rPr>
          <w:rFonts w:ascii="Verdana" w:hAnsi="Verdana"/>
          <w:sz w:val="20"/>
          <w:lang w:val="el-GR" w:eastAsia="el-GR"/>
        </w:rPr>
        <w:t xml:space="preserve">Το συνολικό προσωπικό σε Ε&amp;Α στον τομέα ήταν </w:t>
      </w:r>
      <w:r w:rsidR="00BF328E" w:rsidRPr="00BF328E">
        <w:rPr>
          <w:rFonts w:ascii="Verdana" w:hAnsi="Verdana"/>
          <w:sz w:val="20"/>
          <w:lang w:val="el-GR" w:eastAsia="el-GR"/>
        </w:rPr>
        <w:t>8.130,6 ΙΠΑ</w:t>
      </w:r>
      <w:r w:rsidR="00BF328E">
        <w:rPr>
          <w:rFonts w:ascii="Verdana" w:hAnsi="Verdana"/>
          <w:sz w:val="20"/>
          <w:lang w:val="el-GR" w:eastAsia="el-GR"/>
        </w:rPr>
        <w:t xml:space="preserve">, εκ των οποίων </w:t>
      </w:r>
      <w:r w:rsidR="00BF328E" w:rsidRPr="00BF328E">
        <w:rPr>
          <w:rFonts w:ascii="Verdana" w:hAnsi="Verdana"/>
          <w:sz w:val="20"/>
          <w:lang w:val="el-GR" w:eastAsia="el-GR"/>
        </w:rPr>
        <w:t xml:space="preserve">5.034,6 ΙΠΑ </w:t>
      </w:r>
      <w:r w:rsidR="00BF328E">
        <w:rPr>
          <w:rFonts w:ascii="Verdana" w:hAnsi="Verdana"/>
          <w:sz w:val="20"/>
          <w:lang w:val="el-GR" w:eastAsia="el-GR"/>
        </w:rPr>
        <w:t>ήταν ερευνητές. Η κύρια πηγή χρηματοδότησης τ</w:t>
      </w:r>
      <w:r w:rsidR="00BF328E" w:rsidRPr="00BF328E">
        <w:rPr>
          <w:rFonts w:ascii="Verdana" w:hAnsi="Verdana"/>
          <w:sz w:val="20"/>
          <w:lang w:val="el-GR" w:eastAsia="el-GR"/>
        </w:rPr>
        <w:t xml:space="preserve">ων δαπανών που πραγματοποιήθηκαν στον τομέα των επιχειρήσεων ήταν </w:t>
      </w:r>
      <w:r w:rsidR="008D253A" w:rsidRPr="008D253A">
        <w:rPr>
          <w:rFonts w:ascii="Verdana" w:hAnsi="Verdana"/>
          <w:sz w:val="20"/>
          <w:lang w:val="el-GR" w:eastAsia="el-GR"/>
        </w:rPr>
        <w:t>ίδια κεφάλαια</w:t>
      </w:r>
      <w:r w:rsidR="00546701" w:rsidRPr="00546701">
        <w:rPr>
          <w:rFonts w:ascii="Verdana" w:hAnsi="Verdana"/>
          <w:sz w:val="20"/>
          <w:lang w:val="el-GR" w:eastAsia="el-GR"/>
        </w:rPr>
        <w:t>.</w:t>
      </w:r>
    </w:p>
    <w:p w:rsidR="00356C27" w:rsidRPr="008F7AF3" w:rsidRDefault="00356C27" w:rsidP="00356C27">
      <w:pPr>
        <w:jc w:val="both"/>
        <w:rPr>
          <w:rFonts w:ascii="Verdana" w:hAnsi="Verdana"/>
          <w:sz w:val="12"/>
          <w:lang w:val="el-GR" w:eastAsia="el-GR"/>
        </w:rPr>
      </w:pPr>
    </w:p>
    <w:p w:rsidR="008D253A" w:rsidRDefault="008D253A" w:rsidP="00356C27">
      <w:pPr>
        <w:jc w:val="both"/>
        <w:rPr>
          <w:rFonts w:ascii="Verdana" w:hAnsi="Verdana"/>
          <w:sz w:val="20"/>
          <w:lang w:val="el-GR" w:eastAsia="el-GR"/>
        </w:rPr>
      </w:pPr>
      <w:r>
        <w:rPr>
          <w:rFonts w:ascii="Verdana" w:hAnsi="Verdana"/>
          <w:sz w:val="20"/>
          <w:lang w:val="el-GR" w:eastAsia="el-GR"/>
        </w:rPr>
        <w:t xml:space="preserve">Στον κρατικό τομέα (δημόσιοι ερευνητικοί φορείς, εφορείες αρχαιοτήτων, νοσοκομεία κ.λπ.) οι δαπάνες σε Ε&amp;Α το 2015 ανήλθαν σε 479,4 εκατ. </w:t>
      </w:r>
      <w:r w:rsidR="008F7AF3">
        <w:rPr>
          <w:rFonts w:ascii="Verdana" w:hAnsi="Verdana"/>
          <w:sz w:val="20"/>
          <w:lang w:val="el-GR" w:eastAsia="el-GR"/>
        </w:rPr>
        <w:t>ε</w:t>
      </w:r>
      <w:r>
        <w:rPr>
          <w:rFonts w:ascii="Verdana" w:hAnsi="Verdana"/>
          <w:sz w:val="20"/>
          <w:lang w:val="el-GR" w:eastAsia="el-GR"/>
        </w:rPr>
        <w:t xml:space="preserve">υρώ, </w:t>
      </w:r>
      <w:r w:rsidRPr="008D253A">
        <w:rPr>
          <w:rFonts w:ascii="Verdana" w:hAnsi="Verdana"/>
          <w:sz w:val="20"/>
          <w:lang w:val="el-GR" w:eastAsia="el-GR"/>
        </w:rPr>
        <w:lastRenderedPageBreak/>
        <w:t>παρουσιάζοντας αύξηση κατά 16,2% σε σχέση με το 2014.</w:t>
      </w:r>
      <w:r>
        <w:rPr>
          <w:rFonts w:ascii="Verdana" w:hAnsi="Verdana"/>
          <w:sz w:val="20"/>
          <w:lang w:val="el-GR" w:eastAsia="el-GR"/>
        </w:rPr>
        <w:t xml:space="preserve"> </w:t>
      </w:r>
      <w:r w:rsidRPr="008D253A">
        <w:rPr>
          <w:rFonts w:ascii="Verdana" w:hAnsi="Verdana"/>
          <w:sz w:val="20"/>
          <w:lang w:val="el-GR" w:eastAsia="el-GR"/>
        </w:rPr>
        <w:t xml:space="preserve">Το συνολικό προσωπικό σε Ε&amp;Α στον τομέα ήταν </w:t>
      </w:r>
      <w:r>
        <w:rPr>
          <w:rFonts w:ascii="Verdana" w:hAnsi="Verdana"/>
          <w:sz w:val="20"/>
          <w:lang w:val="el-GR" w:eastAsia="el-GR"/>
        </w:rPr>
        <w:t xml:space="preserve">13.627,6 ΙΠΑ, εκ των οποίων </w:t>
      </w:r>
      <w:r w:rsidRPr="008D253A">
        <w:rPr>
          <w:rFonts w:ascii="Verdana" w:hAnsi="Verdana"/>
          <w:sz w:val="20"/>
          <w:lang w:val="el-GR" w:eastAsia="el-GR"/>
        </w:rPr>
        <w:t xml:space="preserve">7.255,5 ΙΠΑ </w:t>
      </w:r>
      <w:r>
        <w:rPr>
          <w:rFonts w:ascii="Verdana" w:hAnsi="Verdana"/>
          <w:sz w:val="20"/>
          <w:lang w:val="el-GR" w:eastAsia="el-GR"/>
        </w:rPr>
        <w:t>ήταν οι</w:t>
      </w:r>
      <w:r w:rsidRPr="008D253A">
        <w:rPr>
          <w:rFonts w:ascii="Verdana" w:hAnsi="Verdana"/>
          <w:sz w:val="20"/>
          <w:lang w:val="el-GR" w:eastAsia="el-GR"/>
        </w:rPr>
        <w:t xml:space="preserve"> ερευνητές. Η κύρια πηγή χρηματοδότησης των δαπανών που πραγματοποιήθηκαν στον </w:t>
      </w:r>
      <w:r>
        <w:rPr>
          <w:rFonts w:ascii="Verdana" w:hAnsi="Verdana"/>
          <w:sz w:val="20"/>
          <w:lang w:val="el-GR" w:eastAsia="el-GR"/>
        </w:rPr>
        <w:t xml:space="preserve">κρατικό </w:t>
      </w:r>
      <w:r w:rsidRPr="008D253A">
        <w:rPr>
          <w:rFonts w:ascii="Verdana" w:hAnsi="Verdana"/>
          <w:sz w:val="20"/>
          <w:lang w:val="el-GR" w:eastAsia="el-GR"/>
        </w:rPr>
        <w:t>τομέα ήταν το κράτος (τακτικός προϋπολογισμός και ΕΣΠΑ).</w:t>
      </w:r>
    </w:p>
    <w:p w:rsidR="008D253A" w:rsidRPr="008F7AF3" w:rsidRDefault="008D253A" w:rsidP="0077580B">
      <w:pPr>
        <w:jc w:val="both"/>
        <w:rPr>
          <w:rFonts w:ascii="Verdana" w:eastAsia="Calibri" w:hAnsi="Verdana"/>
          <w:sz w:val="12"/>
          <w:lang w:val="el-GR"/>
        </w:rPr>
      </w:pPr>
    </w:p>
    <w:p w:rsidR="0077580B" w:rsidRDefault="008D253A" w:rsidP="0077580B">
      <w:pPr>
        <w:jc w:val="both"/>
        <w:rPr>
          <w:rFonts w:ascii="Verdana" w:eastAsia="Calibri" w:hAnsi="Verdana"/>
          <w:sz w:val="20"/>
          <w:lang w:val="el-GR"/>
        </w:rPr>
      </w:pPr>
      <w:r>
        <w:rPr>
          <w:rFonts w:ascii="Verdana" w:eastAsia="Calibri" w:hAnsi="Verdana"/>
          <w:sz w:val="20"/>
          <w:lang w:val="el-GR"/>
        </w:rPr>
        <w:t xml:space="preserve">Στον τομέα των </w:t>
      </w:r>
      <w:r w:rsidRPr="008D253A">
        <w:rPr>
          <w:rFonts w:ascii="Verdana" w:eastAsia="Calibri" w:hAnsi="Verdana"/>
          <w:sz w:val="20"/>
          <w:lang w:val="el-GR"/>
        </w:rPr>
        <w:t>ιδιωτικών μη κερδοσκοπικών ιδρυμάτων</w:t>
      </w:r>
      <w:r w:rsidR="00E1626B">
        <w:rPr>
          <w:rFonts w:ascii="Verdana" w:eastAsia="Calibri" w:hAnsi="Verdana"/>
          <w:sz w:val="20"/>
          <w:lang w:val="el-GR"/>
        </w:rPr>
        <w:t>,</w:t>
      </w:r>
      <w:r w:rsidRPr="008D253A">
        <w:rPr>
          <w:rFonts w:ascii="Verdana" w:eastAsia="Calibri" w:hAnsi="Verdana"/>
          <w:sz w:val="20"/>
          <w:lang w:val="el-GR"/>
        </w:rPr>
        <w:t xml:space="preserve"> το 2015 οι συνολικές δαπάνες Ε&amp;Α αν</w:t>
      </w:r>
      <w:r w:rsidR="00B26F27">
        <w:rPr>
          <w:rFonts w:ascii="Verdana" w:eastAsia="Calibri" w:hAnsi="Verdana"/>
          <w:sz w:val="20"/>
          <w:lang w:val="el-GR"/>
        </w:rPr>
        <w:t>ήλθαν</w:t>
      </w:r>
      <w:r w:rsidRPr="008D253A">
        <w:rPr>
          <w:rFonts w:ascii="Verdana" w:eastAsia="Calibri" w:hAnsi="Verdana"/>
          <w:sz w:val="20"/>
          <w:lang w:val="el-GR"/>
        </w:rPr>
        <w:t xml:space="preserve"> σε 19,1 εκατ. </w:t>
      </w:r>
      <w:r w:rsidR="008F7AF3">
        <w:rPr>
          <w:rFonts w:ascii="Verdana" w:eastAsia="Calibri" w:hAnsi="Verdana"/>
          <w:sz w:val="20"/>
          <w:lang w:val="el-GR"/>
        </w:rPr>
        <w:t>ε</w:t>
      </w:r>
      <w:r w:rsidRPr="008D253A">
        <w:rPr>
          <w:rFonts w:ascii="Verdana" w:eastAsia="Calibri" w:hAnsi="Verdana"/>
          <w:sz w:val="20"/>
          <w:lang w:val="el-GR"/>
        </w:rPr>
        <w:t>υρώ, παρουσιάζοντας αύξηση κατά 3,4% σε σχέση με το 2014.</w:t>
      </w:r>
      <w:r>
        <w:rPr>
          <w:rFonts w:ascii="Verdana" w:eastAsia="Calibri" w:hAnsi="Verdana"/>
          <w:sz w:val="20"/>
          <w:lang w:val="el-GR"/>
        </w:rPr>
        <w:t xml:space="preserve"> </w:t>
      </w:r>
    </w:p>
    <w:p w:rsidR="00B26F27" w:rsidRPr="008F7AF3" w:rsidRDefault="00B26F27" w:rsidP="0077580B">
      <w:pPr>
        <w:jc w:val="both"/>
        <w:rPr>
          <w:rFonts w:ascii="Verdana" w:eastAsia="Calibri" w:hAnsi="Verdana"/>
          <w:sz w:val="12"/>
          <w:lang w:val="el-GR"/>
        </w:rPr>
      </w:pPr>
    </w:p>
    <w:p w:rsidR="001A7321" w:rsidRPr="00A35E84" w:rsidRDefault="00B26F27" w:rsidP="0077580B">
      <w:pPr>
        <w:jc w:val="both"/>
        <w:rPr>
          <w:rFonts w:ascii="Verdana" w:eastAsia="Calibri" w:hAnsi="Verdana"/>
          <w:sz w:val="20"/>
          <w:lang w:val="el-GR"/>
        </w:rPr>
      </w:pPr>
      <w:r>
        <w:rPr>
          <w:rFonts w:ascii="Verdana" w:eastAsia="Calibri" w:hAnsi="Verdana"/>
          <w:sz w:val="20"/>
          <w:lang w:val="el-GR"/>
        </w:rPr>
        <w:t>Συνολικά, η</w:t>
      </w:r>
      <w:r w:rsidR="00C9173B" w:rsidRPr="00A35E84">
        <w:rPr>
          <w:rFonts w:ascii="Verdana" w:eastAsia="Calibri" w:hAnsi="Verdana"/>
          <w:sz w:val="20"/>
          <w:lang w:val="el-GR"/>
        </w:rPr>
        <w:t xml:space="preserve"> κρατική χρηματοδότηση παραμένει διαχρονικά </w:t>
      </w:r>
      <w:r w:rsidR="00AE1AE8">
        <w:rPr>
          <w:rFonts w:ascii="Verdana" w:eastAsia="Calibri" w:hAnsi="Verdana"/>
          <w:sz w:val="20"/>
          <w:lang w:val="el-GR"/>
        </w:rPr>
        <w:t xml:space="preserve">η </w:t>
      </w:r>
      <w:r w:rsidR="00C9173B" w:rsidRPr="00A35E84">
        <w:rPr>
          <w:rFonts w:ascii="Verdana" w:eastAsia="Calibri" w:hAnsi="Verdana"/>
          <w:sz w:val="20"/>
          <w:lang w:val="el-GR"/>
        </w:rPr>
        <w:t>σημαντικότερη πηγή χρηματοδότησης Ε&amp;Α</w:t>
      </w:r>
      <w:r>
        <w:rPr>
          <w:rFonts w:ascii="Verdana" w:eastAsia="Calibri" w:hAnsi="Verdana"/>
          <w:sz w:val="20"/>
          <w:lang w:val="el-GR"/>
        </w:rPr>
        <w:t xml:space="preserve"> στην Ελλάδα</w:t>
      </w:r>
      <w:r w:rsidR="00C9173B" w:rsidRPr="00A35E84">
        <w:rPr>
          <w:rFonts w:ascii="Verdana" w:eastAsia="Calibri" w:hAnsi="Verdana"/>
          <w:sz w:val="20"/>
          <w:lang w:val="el-GR"/>
        </w:rPr>
        <w:t>. Κρίσιμ</w:t>
      </w:r>
      <w:r w:rsidR="005F6BC3" w:rsidRPr="00A35E84">
        <w:rPr>
          <w:rFonts w:ascii="Verdana" w:eastAsia="Calibri" w:hAnsi="Verdana"/>
          <w:sz w:val="20"/>
          <w:lang w:val="el-GR"/>
        </w:rPr>
        <w:t xml:space="preserve">η </w:t>
      </w:r>
      <w:r w:rsidR="00C9173B" w:rsidRPr="00A35E84">
        <w:rPr>
          <w:rFonts w:ascii="Verdana" w:eastAsia="Calibri" w:hAnsi="Verdana"/>
          <w:sz w:val="20"/>
          <w:lang w:val="el-GR"/>
        </w:rPr>
        <w:t xml:space="preserve">αναδεικνύεται </w:t>
      </w:r>
      <w:r w:rsidR="005F6BC3" w:rsidRPr="00A35E84">
        <w:rPr>
          <w:rFonts w:ascii="Verdana" w:eastAsia="Calibri" w:hAnsi="Verdana"/>
          <w:sz w:val="20"/>
          <w:lang w:val="el-GR"/>
        </w:rPr>
        <w:t xml:space="preserve">η συνεισφορά του ΕΣΠΑ, </w:t>
      </w:r>
      <w:r w:rsidR="00C9173B" w:rsidRPr="00A35E84">
        <w:rPr>
          <w:rFonts w:ascii="Verdana" w:eastAsia="Calibri" w:hAnsi="Verdana"/>
          <w:sz w:val="20"/>
          <w:lang w:val="el-GR"/>
        </w:rPr>
        <w:t xml:space="preserve">του οποίου η συμβολή </w:t>
      </w:r>
      <w:r w:rsidR="005F6BC3" w:rsidRPr="00A35E84">
        <w:rPr>
          <w:rFonts w:ascii="Verdana" w:eastAsia="Calibri" w:hAnsi="Verdana"/>
          <w:sz w:val="20"/>
          <w:lang w:val="el-GR"/>
        </w:rPr>
        <w:t>είναι συνεχώς αυξανόμενη</w:t>
      </w:r>
      <w:r w:rsidR="00C9173B" w:rsidRPr="00A35E84">
        <w:rPr>
          <w:rFonts w:ascii="Verdana" w:eastAsia="Calibri" w:hAnsi="Verdana"/>
          <w:sz w:val="20"/>
          <w:lang w:val="el-GR"/>
        </w:rPr>
        <w:t xml:space="preserve">, </w:t>
      </w:r>
      <w:r>
        <w:rPr>
          <w:rFonts w:ascii="Verdana" w:eastAsia="Calibri" w:hAnsi="Verdana"/>
          <w:sz w:val="20"/>
          <w:lang w:val="el-GR"/>
        </w:rPr>
        <w:t>και</w:t>
      </w:r>
      <w:r w:rsidR="00C9173B" w:rsidRPr="00A35E84">
        <w:rPr>
          <w:rFonts w:ascii="Verdana" w:eastAsia="Calibri" w:hAnsi="Verdana"/>
          <w:sz w:val="20"/>
          <w:lang w:val="el-GR"/>
        </w:rPr>
        <w:t xml:space="preserve"> </w:t>
      </w:r>
      <w:r>
        <w:rPr>
          <w:rFonts w:ascii="Verdana" w:eastAsia="Calibri" w:hAnsi="Verdana"/>
          <w:sz w:val="20"/>
          <w:lang w:val="el-GR"/>
        </w:rPr>
        <w:t xml:space="preserve">από </w:t>
      </w:r>
      <w:r w:rsidR="00C9173B" w:rsidRPr="00A35E84">
        <w:rPr>
          <w:rFonts w:ascii="Verdana" w:eastAsia="Calibri" w:hAnsi="Verdana"/>
          <w:sz w:val="20"/>
          <w:lang w:val="el-GR"/>
        </w:rPr>
        <w:t>308,1 εκ</w:t>
      </w:r>
      <w:r w:rsidR="00DD5554" w:rsidRPr="00A35E84">
        <w:rPr>
          <w:rFonts w:ascii="Verdana" w:eastAsia="Calibri" w:hAnsi="Verdana"/>
          <w:sz w:val="20"/>
          <w:lang w:val="el-GR"/>
        </w:rPr>
        <w:t>ατ</w:t>
      </w:r>
      <w:r w:rsidR="00C9173B" w:rsidRPr="00A35E84">
        <w:rPr>
          <w:rFonts w:ascii="Verdana" w:eastAsia="Calibri" w:hAnsi="Verdana"/>
          <w:sz w:val="20"/>
          <w:lang w:val="el-GR"/>
        </w:rPr>
        <w:t xml:space="preserve">. </w:t>
      </w:r>
      <w:r w:rsidR="008F7AF3">
        <w:rPr>
          <w:rFonts w:ascii="Verdana" w:eastAsia="Calibri" w:hAnsi="Verdana"/>
          <w:sz w:val="20"/>
          <w:lang w:val="el-GR"/>
        </w:rPr>
        <w:t>ε</w:t>
      </w:r>
      <w:r w:rsidR="007A13C3" w:rsidRPr="00A35E84">
        <w:rPr>
          <w:rFonts w:ascii="Verdana" w:eastAsia="Calibri" w:hAnsi="Verdana"/>
          <w:sz w:val="20"/>
          <w:lang w:val="el-GR"/>
        </w:rPr>
        <w:t>υρώ</w:t>
      </w:r>
      <w:r w:rsidR="00C9173B" w:rsidRPr="00A35E84">
        <w:rPr>
          <w:rFonts w:ascii="Verdana" w:eastAsia="Calibri" w:hAnsi="Verdana"/>
          <w:sz w:val="20"/>
          <w:lang w:val="el-GR"/>
        </w:rPr>
        <w:t xml:space="preserve"> το 2014 </w:t>
      </w:r>
      <w:r>
        <w:rPr>
          <w:rFonts w:ascii="Verdana" w:eastAsia="Calibri" w:hAnsi="Verdana"/>
          <w:sz w:val="20"/>
          <w:lang w:val="el-GR"/>
        </w:rPr>
        <w:t>έφθασε τα 388,1</w:t>
      </w:r>
      <w:r w:rsidR="00C9173B" w:rsidRPr="00A35E84">
        <w:rPr>
          <w:rFonts w:ascii="Verdana" w:eastAsia="Calibri" w:hAnsi="Verdana"/>
          <w:sz w:val="20"/>
          <w:lang w:val="el-GR"/>
        </w:rPr>
        <w:t xml:space="preserve"> εκ</w:t>
      </w:r>
      <w:r w:rsidR="00DD5554" w:rsidRPr="00A35E84">
        <w:rPr>
          <w:rFonts w:ascii="Verdana" w:eastAsia="Calibri" w:hAnsi="Verdana"/>
          <w:sz w:val="20"/>
          <w:lang w:val="el-GR"/>
        </w:rPr>
        <w:t>ατ</w:t>
      </w:r>
      <w:r w:rsidR="00C9173B" w:rsidRPr="00A35E84">
        <w:rPr>
          <w:rFonts w:ascii="Verdana" w:eastAsia="Calibri" w:hAnsi="Verdana"/>
          <w:sz w:val="20"/>
          <w:lang w:val="el-GR"/>
        </w:rPr>
        <w:t xml:space="preserve">. </w:t>
      </w:r>
      <w:r w:rsidR="008F7AF3">
        <w:rPr>
          <w:rFonts w:ascii="Verdana" w:eastAsia="Calibri" w:hAnsi="Verdana"/>
          <w:sz w:val="20"/>
          <w:lang w:val="el-GR"/>
        </w:rPr>
        <w:t>ε</w:t>
      </w:r>
      <w:r w:rsidR="007A13C3" w:rsidRPr="00A35E84">
        <w:rPr>
          <w:rFonts w:ascii="Verdana" w:eastAsia="Calibri" w:hAnsi="Verdana"/>
          <w:sz w:val="20"/>
          <w:lang w:val="el-GR"/>
        </w:rPr>
        <w:t>υρώ</w:t>
      </w:r>
      <w:r w:rsidR="00C9173B" w:rsidRPr="00A35E84">
        <w:rPr>
          <w:rFonts w:ascii="Verdana" w:eastAsia="Calibri" w:hAnsi="Verdana"/>
          <w:sz w:val="20"/>
          <w:lang w:val="el-GR"/>
        </w:rPr>
        <w:t xml:space="preserve"> το 2015</w:t>
      </w:r>
      <w:r>
        <w:rPr>
          <w:rFonts w:ascii="Verdana" w:eastAsia="Calibri" w:hAnsi="Verdana"/>
          <w:sz w:val="20"/>
          <w:lang w:val="el-GR"/>
        </w:rPr>
        <w:t xml:space="preserve"> (αύξηση κατά 25,9%). </w:t>
      </w:r>
      <w:r w:rsidR="00AE1AE8">
        <w:rPr>
          <w:rFonts w:ascii="Verdana" w:eastAsia="Calibri" w:hAnsi="Verdana"/>
          <w:sz w:val="20"/>
          <w:lang w:val="el-GR"/>
        </w:rPr>
        <w:t xml:space="preserve">Το 2015 </w:t>
      </w:r>
      <w:r w:rsidR="00AE1AE8" w:rsidRPr="00AE1AE8">
        <w:rPr>
          <w:rFonts w:ascii="Verdana" w:eastAsia="Calibri" w:hAnsi="Verdana"/>
          <w:sz w:val="20"/>
          <w:lang w:val="el-GR"/>
        </w:rPr>
        <w:t xml:space="preserve">το ΕΣΠΑ </w:t>
      </w:r>
      <w:r w:rsidR="00AE1AE8">
        <w:rPr>
          <w:rFonts w:ascii="Verdana" w:eastAsia="Calibri" w:hAnsi="Verdana"/>
          <w:sz w:val="20"/>
          <w:lang w:val="el-GR"/>
        </w:rPr>
        <w:t xml:space="preserve">χρηματοδότησε </w:t>
      </w:r>
      <w:r w:rsidR="00AE1AE8" w:rsidRPr="00AE1AE8">
        <w:rPr>
          <w:rFonts w:ascii="Verdana" w:eastAsia="Calibri" w:hAnsi="Verdana"/>
          <w:sz w:val="20"/>
          <w:lang w:val="el-GR"/>
        </w:rPr>
        <w:t xml:space="preserve">το </w:t>
      </w:r>
      <w:r w:rsidR="00AE1AE8">
        <w:rPr>
          <w:rFonts w:ascii="Verdana" w:eastAsia="Calibri" w:hAnsi="Verdana"/>
          <w:sz w:val="20"/>
          <w:lang w:val="el-GR"/>
        </w:rPr>
        <w:t>22,8</w:t>
      </w:r>
      <w:r w:rsidR="00AE1AE8" w:rsidRPr="00AE1AE8">
        <w:rPr>
          <w:rFonts w:ascii="Verdana" w:eastAsia="Calibri" w:hAnsi="Verdana"/>
          <w:sz w:val="20"/>
          <w:lang w:val="el-GR"/>
        </w:rPr>
        <w:t>% τ</w:t>
      </w:r>
      <w:r w:rsidR="00AE1AE8">
        <w:rPr>
          <w:rFonts w:ascii="Verdana" w:eastAsia="Calibri" w:hAnsi="Verdana"/>
          <w:sz w:val="20"/>
          <w:lang w:val="el-GR"/>
        </w:rPr>
        <w:t xml:space="preserve">ου συνόλου των δαπανών Ε&amp;Α στην Ελλάδα. </w:t>
      </w:r>
    </w:p>
    <w:p w:rsidR="0077580B" w:rsidRPr="008F7AF3" w:rsidRDefault="0077580B" w:rsidP="0077580B">
      <w:pPr>
        <w:jc w:val="both"/>
        <w:rPr>
          <w:rFonts w:ascii="Verdana" w:eastAsia="Calibri" w:hAnsi="Verdana"/>
          <w:sz w:val="12"/>
          <w:lang w:val="el-GR"/>
        </w:rPr>
      </w:pPr>
    </w:p>
    <w:p w:rsidR="007A2BA1" w:rsidRPr="007A2BA1" w:rsidRDefault="007B6298" w:rsidP="007A2BA1">
      <w:pPr>
        <w:jc w:val="both"/>
        <w:rPr>
          <w:rFonts w:ascii="Verdana" w:hAnsi="Verdana"/>
          <w:sz w:val="20"/>
          <w:lang w:val="el-GR" w:eastAsia="el-GR"/>
        </w:rPr>
      </w:pPr>
      <w:r>
        <w:rPr>
          <w:rFonts w:ascii="Verdana" w:hAnsi="Verdana"/>
          <w:sz w:val="20"/>
          <w:lang w:val="el-GR" w:eastAsia="el-GR"/>
        </w:rPr>
        <w:t xml:space="preserve">Μετά την εφαρμογή του </w:t>
      </w:r>
      <w:r w:rsidR="00AE5738" w:rsidRPr="007A2BA1">
        <w:rPr>
          <w:rFonts w:ascii="Verdana" w:hAnsi="Verdana"/>
          <w:sz w:val="20"/>
          <w:lang w:val="el-GR" w:eastAsia="el-GR"/>
        </w:rPr>
        <w:t>αναθεωρημένο</w:t>
      </w:r>
      <w:r>
        <w:rPr>
          <w:rFonts w:ascii="Verdana" w:hAnsi="Verdana"/>
          <w:sz w:val="20"/>
          <w:lang w:val="el-GR" w:eastAsia="el-GR"/>
        </w:rPr>
        <w:t>υ</w:t>
      </w:r>
      <w:r w:rsidR="00AE5738" w:rsidRPr="007A2BA1">
        <w:rPr>
          <w:rFonts w:ascii="Verdana" w:hAnsi="Verdana"/>
          <w:sz w:val="20"/>
          <w:lang w:val="el-GR" w:eastAsia="el-GR"/>
        </w:rPr>
        <w:t xml:space="preserve"> Ευρωπαϊκ</w:t>
      </w:r>
      <w:r>
        <w:rPr>
          <w:rFonts w:ascii="Verdana" w:hAnsi="Verdana"/>
          <w:sz w:val="20"/>
          <w:lang w:val="el-GR" w:eastAsia="el-GR"/>
        </w:rPr>
        <w:t>ού</w:t>
      </w:r>
      <w:r w:rsidR="00AE5738" w:rsidRPr="007A2BA1">
        <w:rPr>
          <w:rFonts w:ascii="Verdana" w:hAnsi="Verdana"/>
          <w:sz w:val="20"/>
          <w:lang w:val="el-GR" w:eastAsia="el-GR"/>
        </w:rPr>
        <w:t xml:space="preserve"> Σ</w:t>
      </w:r>
      <w:r>
        <w:rPr>
          <w:rFonts w:ascii="Verdana" w:hAnsi="Verdana"/>
          <w:sz w:val="20"/>
          <w:lang w:val="el-GR" w:eastAsia="el-GR"/>
        </w:rPr>
        <w:t xml:space="preserve">υστήματος </w:t>
      </w:r>
      <w:r w:rsidR="00AE5738" w:rsidRPr="007A2BA1">
        <w:rPr>
          <w:rFonts w:ascii="Verdana" w:hAnsi="Verdana"/>
          <w:sz w:val="20"/>
          <w:lang w:val="el-GR" w:eastAsia="el-GR"/>
        </w:rPr>
        <w:t>Λογαριασμών ESA 2010</w:t>
      </w:r>
      <w:r w:rsidR="00AE5738">
        <w:rPr>
          <w:rFonts w:ascii="Verdana" w:hAnsi="Verdana"/>
          <w:sz w:val="20"/>
          <w:lang w:val="el-GR" w:eastAsia="el-GR"/>
        </w:rPr>
        <w:t xml:space="preserve">, οι δαπάνες </w:t>
      </w:r>
      <w:r w:rsidR="007A2BA1">
        <w:rPr>
          <w:rFonts w:ascii="Verdana" w:hAnsi="Verdana"/>
          <w:sz w:val="20"/>
          <w:lang w:val="el-GR" w:eastAsia="el-GR"/>
        </w:rPr>
        <w:t xml:space="preserve">Ε&amp;Α </w:t>
      </w:r>
      <w:r w:rsidR="00AE5738">
        <w:rPr>
          <w:rFonts w:ascii="Verdana" w:hAnsi="Verdana"/>
          <w:sz w:val="20"/>
          <w:lang w:val="el-GR" w:eastAsia="el-GR"/>
        </w:rPr>
        <w:t xml:space="preserve">θεωρούνται </w:t>
      </w:r>
      <w:r>
        <w:rPr>
          <w:rFonts w:ascii="Verdana" w:hAnsi="Verdana"/>
          <w:sz w:val="20"/>
          <w:lang w:val="el-GR" w:eastAsia="el-GR"/>
        </w:rPr>
        <w:t xml:space="preserve">πλέον ως </w:t>
      </w:r>
      <w:r w:rsidR="008F7AF3">
        <w:rPr>
          <w:rFonts w:ascii="Verdana" w:hAnsi="Verdana"/>
          <w:sz w:val="20"/>
          <w:lang w:val="el-GR" w:eastAsia="el-GR"/>
        </w:rPr>
        <w:t>"</w:t>
      </w:r>
      <w:r w:rsidR="00AE5738">
        <w:rPr>
          <w:rFonts w:ascii="Verdana" w:hAnsi="Verdana"/>
          <w:sz w:val="20"/>
          <w:lang w:val="el-GR" w:eastAsia="el-GR"/>
        </w:rPr>
        <w:t>επένδυση</w:t>
      </w:r>
      <w:r w:rsidR="008F7AF3">
        <w:rPr>
          <w:rFonts w:ascii="Verdana" w:hAnsi="Verdana"/>
          <w:sz w:val="20"/>
          <w:lang w:val="el-GR" w:eastAsia="el-GR"/>
        </w:rPr>
        <w:t>"</w:t>
      </w:r>
      <w:r w:rsidR="00AE5738">
        <w:rPr>
          <w:rFonts w:ascii="Verdana" w:hAnsi="Verdana"/>
          <w:sz w:val="20"/>
          <w:lang w:val="el-GR" w:eastAsia="el-GR"/>
        </w:rPr>
        <w:t xml:space="preserve"> και </w:t>
      </w:r>
      <w:r w:rsidR="00AE5738" w:rsidRPr="007A2BA1">
        <w:rPr>
          <w:rFonts w:ascii="Verdana" w:hAnsi="Verdana"/>
          <w:sz w:val="20"/>
          <w:lang w:val="el-GR" w:eastAsia="el-GR"/>
        </w:rPr>
        <w:t>συνυπολογίζονται στο ΑΕΠ των χωρών</w:t>
      </w:r>
      <w:r w:rsidR="00AE5738">
        <w:rPr>
          <w:rFonts w:ascii="Verdana" w:hAnsi="Verdana"/>
          <w:sz w:val="20"/>
          <w:lang w:val="el-GR" w:eastAsia="el-GR"/>
        </w:rPr>
        <w:t xml:space="preserve">. </w:t>
      </w:r>
      <w:r w:rsidR="00AE5738" w:rsidRPr="007A2BA1">
        <w:rPr>
          <w:rFonts w:ascii="Verdana" w:hAnsi="Verdana"/>
          <w:sz w:val="20"/>
          <w:lang w:val="el-GR" w:eastAsia="el-GR"/>
        </w:rPr>
        <w:t xml:space="preserve"> Ο δείκτης Ένταση Ε&amp;Α</w:t>
      </w:r>
      <w:r w:rsidR="008F7AF3">
        <w:rPr>
          <w:rFonts w:ascii="Verdana" w:hAnsi="Verdana"/>
          <w:sz w:val="20"/>
          <w:lang w:val="el-GR" w:eastAsia="el-GR"/>
        </w:rPr>
        <w:t>, μάλιστα,</w:t>
      </w:r>
      <w:r w:rsidR="00AE5738" w:rsidRPr="007A2BA1">
        <w:rPr>
          <w:rFonts w:ascii="Verdana" w:hAnsi="Verdana"/>
          <w:sz w:val="20"/>
          <w:lang w:val="el-GR" w:eastAsia="el-GR"/>
        </w:rPr>
        <w:t xml:space="preserve"> </w:t>
      </w:r>
      <w:r w:rsidR="00AE5738">
        <w:rPr>
          <w:rFonts w:ascii="Verdana" w:hAnsi="Verdana"/>
          <w:sz w:val="20"/>
          <w:lang w:val="el-GR" w:eastAsia="el-GR"/>
        </w:rPr>
        <w:t>ε</w:t>
      </w:r>
      <w:r w:rsidR="00AE5738" w:rsidRPr="007A2BA1">
        <w:rPr>
          <w:rFonts w:ascii="Verdana" w:hAnsi="Verdana"/>
          <w:sz w:val="20"/>
          <w:lang w:val="el-GR" w:eastAsia="el-GR"/>
        </w:rPr>
        <w:t>ίναι ένας από τους βασικούς δείκτες (</w:t>
      </w:r>
      <w:proofErr w:type="spellStart"/>
      <w:r w:rsidR="00AE5738" w:rsidRPr="007A2BA1">
        <w:rPr>
          <w:rFonts w:ascii="Verdana" w:hAnsi="Verdana"/>
          <w:sz w:val="20"/>
          <w:lang w:val="el-GR" w:eastAsia="el-GR"/>
        </w:rPr>
        <w:t>headline</w:t>
      </w:r>
      <w:proofErr w:type="spellEnd"/>
      <w:r w:rsidR="00AE5738" w:rsidRPr="007A2BA1">
        <w:rPr>
          <w:rFonts w:ascii="Verdana" w:hAnsi="Verdana"/>
          <w:sz w:val="20"/>
          <w:lang w:val="el-GR" w:eastAsia="el-GR"/>
        </w:rPr>
        <w:t xml:space="preserve"> </w:t>
      </w:r>
      <w:proofErr w:type="spellStart"/>
      <w:r w:rsidR="00AE5738" w:rsidRPr="007A2BA1">
        <w:rPr>
          <w:rFonts w:ascii="Verdana" w:hAnsi="Verdana"/>
          <w:sz w:val="20"/>
          <w:lang w:val="el-GR" w:eastAsia="el-GR"/>
        </w:rPr>
        <w:t>indicators</w:t>
      </w:r>
      <w:proofErr w:type="spellEnd"/>
      <w:r w:rsidR="00AE5738" w:rsidRPr="007A2BA1">
        <w:rPr>
          <w:rFonts w:ascii="Verdana" w:hAnsi="Verdana"/>
          <w:sz w:val="20"/>
          <w:lang w:val="el-GR" w:eastAsia="el-GR"/>
        </w:rPr>
        <w:t xml:space="preserve">) που χρησιμοποιούνται για την παρακολούθηση της προόδου της στρατηγικής </w:t>
      </w:r>
      <w:r w:rsidR="008F7AF3">
        <w:rPr>
          <w:rFonts w:ascii="Verdana" w:hAnsi="Verdana"/>
          <w:sz w:val="20"/>
          <w:lang w:val="el-GR" w:eastAsia="el-GR"/>
        </w:rPr>
        <w:t>"</w:t>
      </w:r>
      <w:proofErr w:type="spellStart"/>
      <w:r w:rsidR="00AE5738" w:rsidRPr="007A2BA1">
        <w:rPr>
          <w:rFonts w:ascii="Verdana" w:hAnsi="Verdana"/>
          <w:sz w:val="20"/>
          <w:lang w:val="el-GR" w:eastAsia="el-GR"/>
        </w:rPr>
        <w:t>E</w:t>
      </w:r>
      <w:r>
        <w:rPr>
          <w:rFonts w:ascii="Verdana" w:hAnsi="Verdana"/>
          <w:sz w:val="20"/>
          <w:lang w:val="el-GR" w:eastAsia="el-GR"/>
        </w:rPr>
        <w:t>υρώπη</w:t>
      </w:r>
      <w:proofErr w:type="spellEnd"/>
      <w:r>
        <w:rPr>
          <w:rFonts w:ascii="Verdana" w:hAnsi="Verdana"/>
          <w:sz w:val="20"/>
          <w:lang w:val="el-GR" w:eastAsia="el-GR"/>
        </w:rPr>
        <w:t xml:space="preserve"> 2020</w:t>
      </w:r>
      <w:r w:rsidR="008F7AF3">
        <w:rPr>
          <w:rFonts w:ascii="Verdana" w:hAnsi="Verdana"/>
          <w:sz w:val="20"/>
          <w:lang w:val="el-GR" w:eastAsia="el-GR"/>
        </w:rPr>
        <w:t>"</w:t>
      </w:r>
      <w:r>
        <w:rPr>
          <w:rFonts w:ascii="Verdana" w:hAnsi="Verdana"/>
          <w:sz w:val="20"/>
          <w:lang w:val="el-GR" w:eastAsia="el-GR"/>
        </w:rPr>
        <w:t xml:space="preserve">, στην οποία </w:t>
      </w:r>
      <w:r w:rsidRPr="007B6298">
        <w:rPr>
          <w:rFonts w:ascii="Verdana" w:hAnsi="Verdana"/>
          <w:sz w:val="20"/>
          <w:lang w:val="el-GR" w:eastAsia="el-GR"/>
        </w:rPr>
        <w:t xml:space="preserve">η προώθηση της Ε&amp;Α στην οικονομία, συνδυαζόμενη με αποτελεσματικότερο </w:t>
      </w:r>
      <w:r>
        <w:rPr>
          <w:rFonts w:ascii="Verdana" w:hAnsi="Verdana"/>
          <w:sz w:val="20"/>
          <w:lang w:val="el-GR" w:eastAsia="el-GR"/>
        </w:rPr>
        <w:t xml:space="preserve">ανθρώπινο </w:t>
      </w:r>
      <w:r w:rsidRPr="007B6298">
        <w:rPr>
          <w:rFonts w:ascii="Verdana" w:hAnsi="Verdana"/>
          <w:sz w:val="20"/>
          <w:lang w:val="el-GR" w:eastAsia="el-GR"/>
        </w:rPr>
        <w:t>δυναμικό, αυξάνει την ανταγωνιστικότητα και δημιουργεί θέσεις εργασίας</w:t>
      </w:r>
      <w:r>
        <w:rPr>
          <w:rFonts w:ascii="Verdana" w:hAnsi="Verdana"/>
          <w:sz w:val="20"/>
          <w:lang w:val="el-GR" w:eastAsia="el-GR"/>
        </w:rPr>
        <w:t>.</w:t>
      </w:r>
    </w:p>
    <w:p w:rsidR="007A2BA1" w:rsidRPr="008F7AF3" w:rsidRDefault="007A2BA1" w:rsidP="0077580B">
      <w:pPr>
        <w:jc w:val="both"/>
        <w:rPr>
          <w:rFonts w:ascii="Verdana" w:hAnsi="Verdana"/>
          <w:sz w:val="12"/>
          <w:lang w:val="el-GR" w:eastAsia="el-GR"/>
        </w:rPr>
      </w:pPr>
    </w:p>
    <w:p w:rsidR="00596243" w:rsidRPr="00A35E84" w:rsidRDefault="00B26F27" w:rsidP="0077580B">
      <w:pPr>
        <w:jc w:val="both"/>
        <w:rPr>
          <w:rFonts w:ascii="Verdana" w:hAnsi="Verdana"/>
          <w:sz w:val="20"/>
          <w:lang w:val="el-GR" w:eastAsia="el-GR"/>
        </w:rPr>
      </w:pPr>
      <w:r>
        <w:rPr>
          <w:rFonts w:ascii="Verdana" w:hAnsi="Verdana"/>
          <w:sz w:val="20"/>
          <w:lang w:val="el-GR" w:eastAsia="el-GR"/>
        </w:rPr>
        <w:t xml:space="preserve">Στην έκδοση </w:t>
      </w:r>
      <w:r w:rsidRPr="00A35E84">
        <w:rPr>
          <w:rFonts w:ascii="Verdana" w:hAnsi="Verdana"/>
          <w:sz w:val="20"/>
          <w:lang w:val="el-GR" w:eastAsia="el-GR"/>
        </w:rPr>
        <w:t>"Βασικοί Δείκτες Έρευνας και Ανάπτυξης για δαπάνες και προσωπικό το 2015 στην Ελλάδα</w:t>
      </w:r>
      <w:r w:rsidRPr="00B26F27">
        <w:rPr>
          <w:rFonts w:ascii="Verdana" w:hAnsi="Verdana"/>
          <w:sz w:val="20"/>
          <w:lang w:val="el-GR" w:eastAsia="el-GR"/>
        </w:rPr>
        <w:t xml:space="preserve">” </w:t>
      </w:r>
      <w:r w:rsidR="001454F4" w:rsidRPr="001454F4">
        <w:rPr>
          <w:rFonts w:ascii="Verdana" w:hAnsi="Verdana"/>
          <w:sz w:val="20"/>
          <w:lang w:val="el-GR" w:eastAsia="el-GR"/>
        </w:rPr>
        <w:t>(</w:t>
      </w:r>
      <w:hyperlink r:id="rId11" w:history="1">
        <w:r w:rsidR="001454F4" w:rsidRPr="009C3303">
          <w:rPr>
            <w:rStyle w:val="-"/>
            <w:rFonts w:ascii="Verdana" w:hAnsi="Verdana"/>
            <w:sz w:val="20"/>
            <w:lang w:val="el-GR" w:eastAsia="el-GR"/>
          </w:rPr>
          <w:t>http://metrics.ekt.gr/el/node/339</w:t>
        </w:r>
      </w:hyperlink>
      <w:r w:rsidR="008F7AF3">
        <w:rPr>
          <w:rStyle w:val="-"/>
          <w:rFonts w:ascii="Verdana" w:hAnsi="Verdana"/>
          <w:sz w:val="20"/>
          <w:lang w:val="el-GR" w:eastAsia="el-GR"/>
        </w:rPr>
        <w:t>)</w:t>
      </w:r>
      <w:r w:rsidR="001454F4" w:rsidRPr="001454F4">
        <w:rPr>
          <w:rFonts w:ascii="Verdana" w:hAnsi="Verdana"/>
          <w:sz w:val="20"/>
          <w:lang w:val="el-GR" w:eastAsia="el-GR"/>
        </w:rPr>
        <w:t xml:space="preserve"> </w:t>
      </w:r>
      <w:r>
        <w:rPr>
          <w:rFonts w:ascii="Verdana" w:hAnsi="Verdana"/>
          <w:sz w:val="20"/>
          <w:lang w:val="el-GR" w:eastAsia="el-GR"/>
        </w:rPr>
        <w:t xml:space="preserve">παρουσιάζεται η πλήρης σειρά των βασικών δεικτών </w:t>
      </w:r>
      <w:r w:rsidR="009957D1">
        <w:rPr>
          <w:rFonts w:ascii="Verdana" w:hAnsi="Verdana"/>
          <w:sz w:val="20"/>
          <w:lang w:val="el-GR" w:eastAsia="el-GR"/>
        </w:rPr>
        <w:t xml:space="preserve">δαπανών και προσωπικού </w:t>
      </w:r>
      <w:r>
        <w:rPr>
          <w:rFonts w:ascii="Verdana" w:hAnsi="Verdana"/>
          <w:sz w:val="20"/>
          <w:lang w:val="el-GR" w:eastAsia="el-GR"/>
        </w:rPr>
        <w:t xml:space="preserve">Ε&amp;Α για τη χρονική περίοδο 2011-2015 με αναλυτικά στοιχεία ανά τομέα εκτέλεσης Ε&amp;Α και πηγή χρηματοδότησης.    </w:t>
      </w:r>
    </w:p>
    <w:p w:rsidR="00490B85" w:rsidRPr="008F7AF3" w:rsidRDefault="00490B85" w:rsidP="0077580B">
      <w:pPr>
        <w:jc w:val="both"/>
        <w:rPr>
          <w:rFonts w:ascii="Verdana" w:hAnsi="Verdana"/>
          <w:sz w:val="12"/>
          <w:lang w:val="el-GR" w:eastAsia="el-GR"/>
        </w:rPr>
      </w:pPr>
    </w:p>
    <w:p w:rsidR="00490B85" w:rsidRPr="00A35E84" w:rsidRDefault="00052AF0" w:rsidP="0077580B">
      <w:pPr>
        <w:jc w:val="both"/>
        <w:rPr>
          <w:rFonts w:ascii="Verdana" w:hAnsi="Verdana"/>
          <w:sz w:val="20"/>
          <w:lang w:val="el-GR" w:eastAsia="el-GR"/>
        </w:rPr>
      </w:pPr>
      <w:r w:rsidRPr="00A35E84">
        <w:rPr>
          <w:rFonts w:ascii="Verdana" w:hAnsi="Verdana"/>
          <w:sz w:val="20"/>
          <w:lang w:val="el-GR" w:eastAsia="el-GR"/>
        </w:rPr>
        <w:t>Τ</w:t>
      </w:r>
      <w:r w:rsidR="00490B85" w:rsidRPr="00A35E84">
        <w:rPr>
          <w:rFonts w:ascii="Verdana" w:hAnsi="Verdana"/>
          <w:sz w:val="20"/>
          <w:lang w:val="el-GR" w:eastAsia="el-GR"/>
        </w:rPr>
        <w:t xml:space="preserve">α στατιστικά στοιχεία και οι δείκτες για την Έρευνα, Ανάπτυξη και Καινοτομία στην Ελλάδα, τα οποία παράγονται και εκδίδονται από το ΕΚΤ, αποστέλλονται σε τακτική βάση στη </w:t>
      </w:r>
      <w:proofErr w:type="spellStart"/>
      <w:r w:rsidR="00490B85" w:rsidRPr="00A35E84">
        <w:rPr>
          <w:rFonts w:ascii="Verdana" w:hAnsi="Verdana"/>
          <w:sz w:val="20"/>
          <w:lang w:val="el-GR" w:eastAsia="el-GR"/>
        </w:rPr>
        <w:t>Eurostat</w:t>
      </w:r>
      <w:proofErr w:type="spellEnd"/>
      <w:r w:rsidR="00490B85" w:rsidRPr="00A35E84">
        <w:rPr>
          <w:rFonts w:ascii="Verdana" w:hAnsi="Verdana"/>
          <w:sz w:val="20"/>
          <w:lang w:val="el-GR" w:eastAsia="el-GR"/>
        </w:rPr>
        <w:t xml:space="preserve"> και τον ΟΟΣΑ. Η ανάλυση των στοιχείων και η εξαγωγή των σχετικών δεικτών δημοσιεύονται σε έντυπες και ηλεκτρονικές εκδόσεις του ΕΚΤ που διατίθενται στον δικτυακό τόπο </w:t>
      </w:r>
      <w:hyperlink r:id="rId12" w:history="1">
        <w:r w:rsidR="003F3073" w:rsidRPr="00A35E84">
          <w:rPr>
            <w:rStyle w:val="-"/>
            <w:rFonts w:ascii="Verdana" w:hAnsi="Verdana"/>
            <w:sz w:val="20"/>
            <w:lang w:val="el-GR" w:eastAsia="el-GR"/>
          </w:rPr>
          <w:t>http://metrics.ekt.gr</w:t>
        </w:r>
      </w:hyperlink>
      <w:r w:rsidR="00490B85" w:rsidRPr="00A35E84">
        <w:rPr>
          <w:rFonts w:ascii="Verdana" w:hAnsi="Verdana"/>
          <w:sz w:val="20"/>
          <w:lang w:val="el-GR" w:eastAsia="el-GR"/>
        </w:rPr>
        <w:t xml:space="preserve">. </w:t>
      </w:r>
    </w:p>
    <w:p w:rsidR="00490B85" w:rsidRPr="00A35E84" w:rsidRDefault="00490B85" w:rsidP="00490B85">
      <w:pPr>
        <w:jc w:val="both"/>
        <w:rPr>
          <w:rFonts w:ascii="Verdana" w:hAnsi="Verdana"/>
          <w:sz w:val="16"/>
          <w:lang w:val="el-GR" w:eastAsia="el-GR"/>
        </w:rPr>
      </w:pPr>
    </w:p>
    <w:p w:rsidR="00DD5554" w:rsidRPr="00A35E84" w:rsidRDefault="00DD5554" w:rsidP="00490B85">
      <w:pPr>
        <w:jc w:val="both"/>
        <w:rPr>
          <w:rFonts w:ascii="Verdana" w:eastAsia="Batang" w:hAnsi="Verdana"/>
          <w:b/>
          <w:sz w:val="20"/>
          <w:lang w:val="el-GR" w:eastAsia="el-GR"/>
        </w:rPr>
      </w:pPr>
      <w:r w:rsidRPr="00A35E84">
        <w:rPr>
          <w:rFonts w:ascii="Verdana" w:eastAsia="Batang" w:hAnsi="Verdana"/>
          <w:b/>
          <w:sz w:val="20"/>
          <w:lang w:val="el-GR" w:eastAsia="el-GR"/>
        </w:rPr>
        <w:t xml:space="preserve">Διευθύνσεις στο Διαδίκτυο </w:t>
      </w:r>
    </w:p>
    <w:p w:rsidR="00DD5554" w:rsidRPr="00A35E84" w:rsidRDefault="00DD5554" w:rsidP="00AB7A8F">
      <w:pPr>
        <w:rPr>
          <w:rFonts w:ascii="Verdana" w:eastAsia="Batang" w:hAnsi="Verdana"/>
          <w:sz w:val="20"/>
          <w:lang w:val="el-GR" w:eastAsia="el-GR"/>
        </w:rPr>
      </w:pPr>
      <w:r w:rsidRPr="00A35E84">
        <w:rPr>
          <w:rFonts w:ascii="Verdana" w:eastAsia="Batang" w:hAnsi="Verdana"/>
          <w:sz w:val="20"/>
          <w:lang w:val="el-GR" w:eastAsia="el-GR"/>
        </w:rPr>
        <w:t>"Βασικοί Δείκτες Έρευνας και Ανάπτυξης για δαπάνες κα</w:t>
      </w:r>
      <w:r w:rsidR="001454F4">
        <w:rPr>
          <w:rFonts w:ascii="Verdana" w:eastAsia="Batang" w:hAnsi="Verdana"/>
          <w:sz w:val="20"/>
          <w:lang w:val="el-GR" w:eastAsia="el-GR"/>
        </w:rPr>
        <w:t xml:space="preserve">ι προσωπικό το 2015 </w:t>
      </w:r>
      <w:r w:rsidR="00AB7A8F">
        <w:rPr>
          <w:rFonts w:ascii="Verdana" w:eastAsia="Batang" w:hAnsi="Verdana"/>
          <w:sz w:val="20"/>
          <w:lang w:val="el-GR" w:eastAsia="el-GR"/>
        </w:rPr>
        <w:br/>
      </w:r>
      <w:r w:rsidR="001454F4">
        <w:rPr>
          <w:rFonts w:ascii="Verdana" w:eastAsia="Batang" w:hAnsi="Verdana"/>
          <w:sz w:val="20"/>
          <w:lang w:val="el-GR" w:eastAsia="el-GR"/>
        </w:rPr>
        <w:t>στην Ελλάδα</w:t>
      </w:r>
      <w:r w:rsidRPr="00A35E84">
        <w:rPr>
          <w:rFonts w:ascii="Verdana" w:eastAsia="Batang" w:hAnsi="Verdana"/>
          <w:sz w:val="20"/>
          <w:lang w:val="el-GR" w:eastAsia="el-GR"/>
        </w:rPr>
        <w:t>"</w:t>
      </w:r>
    </w:p>
    <w:p w:rsidR="003E0A63" w:rsidRPr="001454F4" w:rsidRDefault="009B424A" w:rsidP="00490B85">
      <w:pPr>
        <w:jc w:val="both"/>
        <w:rPr>
          <w:rStyle w:val="-"/>
          <w:sz w:val="20"/>
          <w:lang w:val="el-GR"/>
        </w:rPr>
      </w:pPr>
      <w:hyperlink r:id="rId13" w:history="1">
        <w:r w:rsidR="001454F4" w:rsidRPr="001454F4">
          <w:rPr>
            <w:rStyle w:val="-"/>
            <w:rFonts w:ascii="Verdana" w:hAnsi="Verdana"/>
            <w:sz w:val="20"/>
            <w:lang w:val="en-US" w:eastAsia="el-GR"/>
          </w:rPr>
          <w:t>http</w:t>
        </w:r>
        <w:r w:rsidR="001454F4" w:rsidRPr="001454F4">
          <w:rPr>
            <w:rStyle w:val="-"/>
            <w:rFonts w:ascii="Verdana" w:hAnsi="Verdana"/>
            <w:sz w:val="20"/>
            <w:lang w:val="el-GR" w:eastAsia="el-GR"/>
          </w:rPr>
          <w:t>://</w:t>
        </w:r>
        <w:r w:rsidR="001454F4" w:rsidRPr="001454F4">
          <w:rPr>
            <w:rStyle w:val="-"/>
            <w:rFonts w:ascii="Verdana" w:hAnsi="Verdana"/>
            <w:sz w:val="20"/>
            <w:lang w:val="en-US" w:eastAsia="el-GR"/>
          </w:rPr>
          <w:t>metrics</w:t>
        </w:r>
        <w:r w:rsidR="001454F4" w:rsidRPr="001454F4">
          <w:rPr>
            <w:rStyle w:val="-"/>
            <w:rFonts w:ascii="Verdana" w:hAnsi="Verdana"/>
            <w:sz w:val="20"/>
            <w:lang w:val="el-GR" w:eastAsia="el-GR"/>
          </w:rPr>
          <w:t>.</w:t>
        </w:r>
        <w:proofErr w:type="spellStart"/>
        <w:r w:rsidR="001454F4" w:rsidRPr="001454F4">
          <w:rPr>
            <w:rStyle w:val="-"/>
            <w:rFonts w:ascii="Verdana" w:hAnsi="Verdana"/>
            <w:sz w:val="20"/>
            <w:lang w:val="en-US" w:eastAsia="el-GR"/>
          </w:rPr>
          <w:t>ekt</w:t>
        </w:r>
        <w:proofErr w:type="spellEnd"/>
        <w:r w:rsidR="001454F4" w:rsidRPr="001454F4">
          <w:rPr>
            <w:rStyle w:val="-"/>
            <w:rFonts w:ascii="Verdana" w:hAnsi="Verdana"/>
            <w:sz w:val="20"/>
            <w:lang w:val="el-GR" w:eastAsia="el-GR"/>
          </w:rPr>
          <w:t>.</w:t>
        </w:r>
        <w:r w:rsidR="001454F4" w:rsidRPr="001454F4">
          <w:rPr>
            <w:rStyle w:val="-"/>
            <w:rFonts w:ascii="Verdana" w:hAnsi="Verdana"/>
            <w:sz w:val="20"/>
            <w:lang w:val="en-US" w:eastAsia="el-GR"/>
          </w:rPr>
          <w:t>gr</w:t>
        </w:r>
        <w:r w:rsidR="001454F4" w:rsidRPr="001454F4">
          <w:rPr>
            <w:rStyle w:val="-"/>
            <w:rFonts w:ascii="Verdana" w:hAnsi="Verdana"/>
            <w:sz w:val="20"/>
            <w:lang w:val="el-GR" w:eastAsia="el-GR"/>
          </w:rPr>
          <w:t>/</w:t>
        </w:r>
        <w:r w:rsidR="001454F4" w:rsidRPr="001454F4">
          <w:rPr>
            <w:rStyle w:val="-"/>
            <w:rFonts w:ascii="Verdana" w:hAnsi="Verdana"/>
            <w:sz w:val="20"/>
            <w:lang w:val="en-US" w:eastAsia="el-GR"/>
          </w:rPr>
          <w:t>el</w:t>
        </w:r>
        <w:r w:rsidR="001454F4" w:rsidRPr="001454F4">
          <w:rPr>
            <w:rStyle w:val="-"/>
            <w:rFonts w:ascii="Verdana" w:hAnsi="Verdana"/>
            <w:sz w:val="20"/>
            <w:lang w:val="el-GR" w:eastAsia="el-GR"/>
          </w:rPr>
          <w:t>/</w:t>
        </w:r>
        <w:r w:rsidR="001454F4" w:rsidRPr="001454F4">
          <w:rPr>
            <w:rStyle w:val="-"/>
            <w:rFonts w:ascii="Verdana" w:hAnsi="Verdana"/>
            <w:sz w:val="20"/>
            <w:lang w:val="en-US" w:eastAsia="el-GR"/>
          </w:rPr>
          <w:t>node</w:t>
        </w:r>
        <w:r w:rsidR="001454F4" w:rsidRPr="001454F4">
          <w:rPr>
            <w:rStyle w:val="-"/>
            <w:rFonts w:ascii="Verdana" w:hAnsi="Verdana"/>
            <w:sz w:val="20"/>
            <w:lang w:val="el-GR" w:eastAsia="el-GR"/>
          </w:rPr>
          <w:t>/339</w:t>
        </w:r>
      </w:hyperlink>
    </w:p>
    <w:p w:rsidR="00187101" w:rsidRDefault="00187101" w:rsidP="00490B85">
      <w:pPr>
        <w:jc w:val="both"/>
        <w:rPr>
          <w:rFonts w:ascii="Verdana" w:hAnsi="Verdana"/>
          <w:sz w:val="20"/>
          <w:lang w:val="el-GR" w:eastAsia="el-GR"/>
        </w:rPr>
      </w:pPr>
      <w:r>
        <w:rPr>
          <w:rFonts w:ascii="Verdana" w:hAnsi="Verdana"/>
          <w:sz w:val="20"/>
          <w:lang w:val="el-GR" w:eastAsia="el-GR"/>
        </w:rPr>
        <w:t>ΕΚΤ – Δείκτες Έρευνας, Ανάπτυξης, Καινοτομίας</w:t>
      </w:r>
    </w:p>
    <w:p w:rsidR="00187101" w:rsidRPr="00187101" w:rsidRDefault="009B424A" w:rsidP="00490B85">
      <w:pPr>
        <w:jc w:val="both"/>
        <w:rPr>
          <w:rFonts w:ascii="Verdana" w:eastAsia="Batang" w:hAnsi="Verdana"/>
          <w:b/>
          <w:sz w:val="20"/>
          <w:lang w:val="el-GR" w:eastAsia="el-GR"/>
        </w:rPr>
      </w:pPr>
      <w:hyperlink r:id="rId14" w:history="1">
        <w:r w:rsidR="00187101" w:rsidRPr="00DE1383">
          <w:rPr>
            <w:rStyle w:val="-"/>
            <w:rFonts w:ascii="Verdana" w:hAnsi="Verdana"/>
            <w:sz w:val="20"/>
            <w:lang w:val="en-US" w:eastAsia="el-GR"/>
          </w:rPr>
          <w:t>http</w:t>
        </w:r>
        <w:r w:rsidR="00187101" w:rsidRPr="00187101">
          <w:rPr>
            <w:rStyle w:val="-"/>
            <w:rFonts w:ascii="Verdana" w:hAnsi="Verdana"/>
            <w:sz w:val="20"/>
            <w:lang w:val="el-GR" w:eastAsia="el-GR"/>
          </w:rPr>
          <w:t>://</w:t>
        </w:r>
        <w:r w:rsidR="00187101" w:rsidRPr="00DE1383">
          <w:rPr>
            <w:rStyle w:val="-"/>
            <w:rFonts w:ascii="Verdana" w:hAnsi="Verdana"/>
            <w:sz w:val="20"/>
            <w:lang w:val="en-US" w:eastAsia="el-GR"/>
          </w:rPr>
          <w:t>metrics</w:t>
        </w:r>
        <w:r w:rsidR="00187101" w:rsidRPr="00187101">
          <w:rPr>
            <w:rStyle w:val="-"/>
            <w:rFonts w:ascii="Verdana" w:hAnsi="Verdana"/>
            <w:sz w:val="20"/>
            <w:lang w:val="el-GR" w:eastAsia="el-GR"/>
          </w:rPr>
          <w:t>.</w:t>
        </w:r>
        <w:proofErr w:type="spellStart"/>
        <w:r w:rsidR="00187101" w:rsidRPr="00DE1383">
          <w:rPr>
            <w:rStyle w:val="-"/>
            <w:rFonts w:ascii="Verdana" w:hAnsi="Verdana"/>
            <w:sz w:val="20"/>
            <w:lang w:val="en-US" w:eastAsia="el-GR"/>
          </w:rPr>
          <w:t>ekt</w:t>
        </w:r>
        <w:proofErr w:type="spellEnd"/>
        <w:r w:rsidR="00187101" w:rsidRPr="00187101">
          <w:rPr>
            <w:rStyle w:val="-"/>
            <w:rFonts w:ascii="Verdana" w:hAnsi="Verdana"/>
            <w:sz w:val="20"/>
            <w:lang w:val="el-GR" w:eastAsia="el-GR"/>
          </w:rPr>
          <w:t>.</w:t>
        </w:r>
        <w:r w:rsidR="00187101" w:rsidRPr="00DE1383">
          <w:rPr>
            <w:rStyle w:val="-"/>
            <w:rFonts w:ascii="Verdana" w:hAnsi="Verdana"/>
            <w:sz w:val="20"/>
            <w:lang w:val="en-US" w:eastAsia="el-GR"/>
          </w:rPr>
          <w:t>gr</w:t>
        </w:r>
      </w:hyperlink>
      <w:r w:rsidR="00187101" w:rsidRPr="00187101">
        <w:rPr>
          <w:rFonts w:ascii="Verdana" w:hAnsi="Verdana"/>
          <w:sz w:val="20"/>
          <w:lang w:val="el-GR" w:eastAsia="el-GR"/>
        </w:rPr>
        <w:t xml:space="preserve"> </w:t>
      </w:r>
    </w:p>
    <w:p w:rsidR="00DD5554" w:rsidRPr="008F7AF3" w:rsidRDefault="00DD5554" w:rsidP="00490B85">
      <w:pPr>
        <w:jc w:val="both"/>
        <w:rPr>
          <w:rFonts w:ascii="Verdana" w:eastAsia="Batang" w:hAnsi="Verdana"/>
          <w:b/>
          <w:sz w:val="12"/>
          <w:lang w:val="el-GR" w:eastAsia="el-GR"/>
        </w:rPr>
      </w:pPr>
    </w:p>
    <w:p w:rsidR="00490B85" w:rsidRPr="000E41C0" w:rsidRDefault="00490B85" w:rsidP="00490B85">
      <w:pPr>
        <w:jc w:val="both"/>
        <w:rPr>
          <w:rFonts w:ascii="Verdana" w:eastAsia="Batang" w:hAnsi="Verdana"/>
          <w:b/>
          <w:sz w:val="20"/>
          <w:lang w:val="el-GR" w:eastAsia="el-GR"/>
        </w:rPr>
      </w:pPr>
      <w:r w:rsidRPr="000E41C0">
        <w:rPr>
          <w:rFonts w:ascii="Verdana" w:eastAsia="Batang" w:hAnsi="Verdana"/>
          <w:b/>
          <w:sz w:val="20"/>
          <w:lang w:val="el-GR" w:eastAsia="el-GR"/>
        </w:rPr>
        <w:t>Επικοινωνία για δημοσιογράφους</w:t>
      </w:r>
    </w:p>
    <w:p w:rsidR="00490B85" w:rsidRPr="000E41C0" w:rsidRDefault="00490B85" w:rsidP="00490B85">
      <w:pPr>
        <w:jc w:val="both"/>
        <w:rPr>
          <w:rFonts w:ascii="Verdana" w:eastAsia="Batang" w:hAnsi="Verdana"/>
          <w:sz w:val="20"/>
          <w:lang w:val="el-GR" w:eastAsia="el-GR"/>
        </w:rPr>
      </w:pPr>
      <w:r w:rsidRPr="000E41C0">
        <w:rPr>
          <w:rFonts w:ascii="Verdana" w:eastAsia="Batang" w:hAnsi="Verdana"/>
          <w:sz w:val="20"/>
          <w:lang w:val="el-GR" w:eastAsia="el-GR"/>
        </w:rPr>
        <w:t xml:space="preserve">Εθνικό Κέντρο Τεκμηρίωσης </w:t>
      </w:r>
    </w:p>
    <w:p w:rsidR="00490B85" w:rsidRPr="000E41C0" w:rsidRDefault="00490B85" w:rsidP="00490B85">
      <w:pPr>
        <w:jc w:val="both"/>
        <w:rPr>
          <w:rFonts w:ascii="Verdana" w:eastAsia="Batang" w:hAnsi="Verdana"/>
          <w:sz w:val="20"/>
          <w:lang w:val="el-GR" w:eastAsia="el-GR"/>
        </w:rPr>
      </w:pPr>
      <w:r w:rsidRPr="000E41C0">
        <w:rPr>
          <w:rFonts w:ascii="Verdana" w:eastAsia="Batang" w:hAnsi="Verdana"/>
          <w:sz w:val="20"/>
          <w:lang w:val="el-GR" w:eastAsia="el-GR"/>
        </w:rPr>
        <w:t xml:space="preserve">Μαργαρίτης Προέδρου, </w:t>
      </w:r>
      <w:proofErr w:type="spellStart"/>
      <w:r w:rsidRPr="000E41C0">
        <w:rPr>
          <w:rFonts w:ascii="Verdana" w:eastAsia="Batang" w:hAnsi="Verdana"/>
          <w:sz w:val="20"/>
          <w:lang w:val="el-GR" w:eastAsia="el-GR"/>
        </w:rPr>
        <w:t>τηλ</w:t>
      </w:r>
      <w:proofErr w:type="spellEnd"/>
      <w:r w:rsidRPr="000E41C0">
        <w:rPr>
          <w:rFonts w:ascii="Verdana" w:eastAsia="Batang" w:hAnsi="Verdana"/>
          <w:sz w:val="20"/>
          <w:lang w:val="el-GR" w:eastAsia="el-GR"/>
        </w:rPr>
        <w:t xml:space="preserve">.: 210 7273966, </w:t>
      </w:r>
      <w:r w:rsidRPr="000E41C0">
        <w:rPr>
          <w:rFonts w:ascii="Verdana" w:eastAsia="Batang" w:hAnsi="Verdana"/>
          <w:sz w:val="20"/>
          <w:lang w:val="en-US" w:eastAsia="el-GR"/>
        </w:rPr>
        <w:t>e</w:t>
      </w:r>
      <w:r w:rsidRPr="000E41C0">
        <w:rPr>
          <w:rFonts w:ascii="Verdana" w:eastAsia="Batang" w:hAnsi="Verdana"/>
          <w:sz w:val="20"/>
          <w:lang w:val="el-GR" w:eastAsia="el-GR"/>
        </w:rPr>
        <w:t>-</w:t>
      </w:r>
      <w:r w:rsidRPr="000E41C0">
        <w:rPr>
          <w:rFonts w:ascii="Verdana" w:eastAsia="Batang" w:hAnsi="Verdana"/>
          <w:sz w:val="20"/>
          <w:lang w:val="en-US" w:eastAsia="el-GR"/>
        </w:rPr>
        <w:t>mail</w:t>
      </w:r>
      <w:r w:rsidRPr="000E41C0">
        <w:rPr>
          <w:rFonts w:ascii="Verdana" w:eastAsia="Batang" w:hAnsi="Verdana"/>
          <w:sz w:val="20"/>
          <w:lang w:val="el-GR" w:eastAsia="el-GR"/>
        </w:rPr>
        <w:t xml:space="preserve">: </w:t>
      </w:r>
      <w:r w:rsidRPr="000E41C0">
        <w:rPr>
          <w:rFonts w:ascii="Verdana" w:eastAsia="Batang" w:hAnsi="Verdana"/>
          <w:sz w:val="20"/>
          <w:lang w:val="en-US" w:eastAsia="el-GR"/>
        </w:rPr>
        <w:t>mproed</w:t>
      </w:r>
      <w:r w:rsidRPr="000E41C0">
        <w:rPr>
          <w:rFonts w:ascii="Verdana" w:eastAsia="Batang" w:hAnsi="Verdana"/>
          <w:sz w:val="20"/>
          <w:lang w:val="el-GR" w:eastAsia="el-GR"/>
        </w:rPr>
        <w:t>@</w:t>
      </w:r>
      <w:proofErr w:type="spellStart"/>
      <w:r w:rsidRPr="000E41C0">
        <w:rPr>
          <w:rFonts w:ascii="Verdana" w:eastAsia="Batang" w:hAnsi="Verdana"/>
          <w:sz w:val="20"/>
          <w:lang w:val="en-US" w:eastAsia="el-GR"/>
        </w:rPr>
        <w:t>ekt</w:t>
      </w:r>
      <w:proofErr w:type="spellEnd"/>
      <w:r w:rsidRPr="000E41C0">
        <w:rPr>
          <w:rFonts w:ascii="Verdana" w:eastAsia="Batang" w:hAnsi="Verdana"/>
          <w:sz w:val="20"/>
          <w:lang w:val="el-GR" w:eastAsia="el-GR"/>
        </w:rPr>
        <w:t>.</w:t>
      </w:r>
      <w:r w:rsidRPr="000E41C0">
        <w:rPr>
          <w:rFonts w:ascii="Verdana" w:eastAsia="Batang" w:hAnsi="Verdana"/>
          <w:sz w:val="20"/>
          <w:lang w:val="en-US" w:eastAsia="el-GR"/>
        </w:rPr>
        <w:t>gr</w:t>
      </w:r>
      <w:r w:rsidRPr="000E41C0">
        <w:rPr>
          <w:rFonts w:ascii="Verdana" w:eastAsia="Batang" w:hAnsi="Verdana"/>
          <w:sz w:val="20"/>
          <w:lang w:val="el-GR" w:eastAsia="el-GR"/>
        </w:rPr>
        <w:t xml:space="preserve"> </w:t>
      </w:r>
    </w:p>
    <w:p w:rsidR="00490B85" w:rsidRPr="00313CD0" w:rsidRDefault="009B424A" w:rsidP="00490B85">
      <w:pPr>
        <w:jc w:val="both"/>
        <w:rPr>
          <w:rFonts w:ascii="Verdana" w:eastAsia="Batang" w:hAnsi="Verdana"/>
          <w:sz w:val="22"/>
          <w:lang w:val="el-GR" w:eastAsia="el-GR"/>
        </w:rPr>
      </w:pPr>
      <w:hyperlink r:id="rId15" w:history="1">
        <w:r w:rsidR="00490B85" w:rsidRPr="00313CD0">
          <w:rPr>
            <w:rFonts w:ascii="Verdana" w:eastAsia="Batang" w:hAnsi="Verdana"/>
            <w:color w:val="0000FF"/>
            <w:sz w:val="22"/>
            <w:u w:val="single"/>
            <w:lang w:val="en-US" w:eastAsia="el-GR"/>
          </w:rPr>
          <w:t>http</w:t>
        </w:r>
        <w:r w:rsidR="00490B85" w:rsidRPr="00313CD0">
          <w:rPr>
            <w:rFonts w:ascii="Verdana" w:eastAsia="Batang" w:hAnsi="Verdana"/>
            <w:color w:val="0000FF"/>
            <w:sz w:val="22"/>
            <w:u w:val="single"/>
            <w:lang w:val="el-GR" w:eastAsia="el-GR"/>
          </w:rPr>
          <w:t>://</w:t>
        </w:r>
        <w:r w:rsidR="00490B85" w:rsidRPr="00313CD0">
          <w:rPr>
            <w:rFonts w:ascii="Verdana" w:eastAsia="Batang" w:hAnsi="Verdana"/>
            <w:color w:val="0000FF"/>
            <w:sz w:val="22"/>
            <w:u w:val="single"/>
            <w:lang w:val="en-US" w:eastAsia="el-GR"/>
          </w:rPr>
          <w:t>www</w:t>
        </w:r>
        <w:r w:rsidR="00490B85" w:rsidRPr="00313CD0">
          <w:rPr>
            <w:rFonts w:ascii="Verdana" w:eastAsia="Batang" w:hAnsi="Verdana"/>
            <w:color w:val="0000FF"/>
            <w:sz w:val="22"/>
            <w:u w:val="single"/>
            <w:lang w:val="el-GR" w:eastAsia="el-GR"/>
          </w:rPr>
          <w:t>.</w:t>
        </w:r>
        <w:proofErr w:type="spellStart"/>
        <w:r w:rsidR="00490B85" w:rsidRPr="00313CD0">
          <w:rPr>
            <w:rFonts w:ascii="Verdana" w:eastAsia="Batang" w:hAnsi="Verdana"/>
            <w:color w:val="0000FF"/>
            <w:sz w:val="22"/>
            <w:u w:val="single"/>
            <w:lang w:val="en-US" w:eastAsia="el-GR"/>
          </w:rPr>
          <w:t>ekt</w:t>
        </w:r>
        <w:proofErr w:type="spellEnd"/>
        <w:r w:rsidR="00490B85" w:rsidRPr="00313CD0">
          <w:rPr>
            <w:rFonts w:ascii="Verdana" w:eastAsia="Batang" w:hAnsi="Verdana"/>
            <w:color w:val="0000FF"/>
            <w:sz w:val="22"/>
            <w:u w:val="single"/>
            <w:lang w:val="el-GR" w:eastAsia="el-GR"/>
          </w:rPr>
          <w:t>.</w:t>
        </w:r>
        <w:r w:rsidR="00490B85" w:rsidRPr="00313CD0">
          <w:rPr>
            <w:rFonts w:ascii="Verdana" w:eastAsia="Batang" w:hAnsi="Verdana"/>
            <w:color w:val="0000FF"/>
            <w:sz w:val="22"/>
            <w:u w:val="single"/>
            <w:lang w:val="en-US" w:eastAsia="el-GR"/>
          </w:rPr>
          <w:t>gr</w:t>
        </w:r>
      </w:hyperlink>
      <w:r w:rsidR="00490B85" w:rsidRPr="00313CD0">
        <w:rPr>
          <w:rFonts w:ascii="Verdana" w:eastAsia="Batang" w:hAnsi="Verdana"/>
          <w:sz w:val="22"/>
          <w:lang w:val="el-GR" w:eastAsia="el-GR"/>
        </w:rPr>
        <w:t xml:space="preserve">  </w:t>
      </w:r>
    </w:p>
    <w:p w:rsidR="00490B85" w:rsidRDefault="00490B85" w:rsidP="00490B85">
      <w:pPr>
        <w:jc w:val="both"/>
        <w:rPr>
          <w:rFonts w:ascii="Verdana" w:eastAsia="Batang" w:hAnsi="Verdana"/>
          <w:b/>
          <w:i/>
          <w:sz w:val="18"/>
          <w:szCs w:val="18"/>
          <w:lang w:val="el-GR" w:eastAsia="el-GR"/>
        </w:rPr>
      </w:pPr>
    </w:p>
    <w:p w:rsidR="008F7AF3" w:rsidRPr="000E41C0" w:rsidRDefault="008F7AF3" w:rsidP="00490B85">
      <w:pPr>
        <w:jc w:val="both"/>
        <w:rPr>
          <w:rFonts w:ascii="Verdana" w:eastAsia="Batang" w:hAnsi="Verdana"/>
          <w:b/>
          <w:i/>
          <w:sz w:val="18"/>
          <w:szCs w:val="18"/>
          <w:lang w:val="el-GR" w:eastAsia="el-GR"/>
        </w:rPr>
      </w:pPr>
    </w:p>
    <w:p w:rsidR="00490B85" w:rsidRPr="000E41C0" w:rsidRDefault="00490B85" w:rsidP="00490B85">
      <w:pPr>
        <w:jc w:val="both"/>
        <w:rPr>
          <w:rFonts w:ascii="Verdana" w:eastAsia="Batang" w:hAnsi="Verdana"/>
          <w:b/>
          <w:i/>
          <w:sz w:val="18"/>
          <w:szCs w:val="18"/>
          <w:lang w:val="el-GR" w:eastAsia="el-GR"/>
        </w:rPr>
      </w:pPr>
      <w:r w:rsidRPr="000E41C0">
        <w:rPr>
          <w:rFonts w:ascii="Verdana" w:eastAsia="Batang" w:hAnsi="Verdana"/>
          <w:b/>
          <w:i/>
          <w:sz w:val="18"/>
          <w:szCs w:val="18"/>
          <w:lang w:val="el-GR" w:eastAsia="el-GR"/>
        </w:rPr>
        <w:t>Σχετικά με το Εθνικό Κέντρο Τεκμηρίωσης</w:t>
      </w:r>
    </w:p>
    <w:p w:rsidR="00490B85" w:rsidRPr="000E41C0" w:rsidRDefault="00490B85" w:rsidP="00490B85">
      <w:pPr>
        <w:jc w:val="both"/>
        <w:rPr>
          <w:rFonts w:ascii="Verdana" w:eastAsia="Batang" w:hAnsi="Verdana"/>
          <w:i/>
          <w:sz w:val="18"/>
          <w:szCs w:val="18"/>
          <w:lang w:val="el-GR" w:eastAsia="el-GR"/>
        </w:rPr>
      </w:pPr>
      <w:r w:rsidRPr="000E41C0">
        <w:rPr>
          <w:rFonts w:ascii="Verdana" w:eastAsia="Batang" w:hAnsi="Verdana"/>
          <w:i/>
          <w:sz w:val="18"/>
          <w:szCs w:val="18"/>
          <w:lang w:val="el-GR" w:eastAsia="el-GR"/>
        </w:rPr>
        <w:t>Το Εθνικό Κέντρο Τεκμηρίωσης (</w:t>
      </w:r>
      <w:hyperlink r:id="rId16" w:history="1">
        <w:r w:rsidRPr="000E41C0">
          <w:rPr>
            <w:rFonts w:ascii="Verdana" w:eastAsia="Batang" w:hAnsi="Verdana"/>
            <w:i/>
            <w:color w:val="0000FF"/>
            <w:sz w:val="18"/>
            <w:szCs w:val="18"/>
            <w:u w:val="single"/>
            <w:lang w:val="en-US" w:eastAsia="el-GR"/>
          </w:rPr>
          <w:t>www</w:t>
        </w:r>
        <w:r w:rsidRPr="000E41C0">
          <w:rPr>
            <w:rFonts w:ascii="Verdana" w:eastAsia="Batang" w:hAnsi="Verdana"/>
            <w:i/>
            <w:color w:val="0000FF"/>
            <w:sz w:val="18"/>
            <w:szCs w:val="18"/>
            <w:u w:val="single"/>
            <w:lang w:val="el-GR" w:eastAsia="el-GR"/>
          </w:rPr>
          <w:t>.</w:t>
        </w:r>
        <w:proofErr w:type="spellStart"/>
        <w:r w:rsidRPr="000E41C0">
          <w:rPr>
            <w:rFonts w:ascii="Verdana" w:eastAsia="Batang" w:hAnsi="Verdana"/>
            <w:i/>
            <w:color w:val="0000FF"/>
            <w:sz w:val="18"/>
            <w:szCs w:val="18"/>
            <w:u w:val="single"/>
            <w:lang w:val="en-US" w:eastAsia="el-GR"/>
          </w:rPr>
          <w:t>ekt</w:t>
        </w:r>
        <w:proofErr w:type="spellEnd"/>
        <w:r w:rsidRPr="000E41C0">
          <w:rPr>
            <w:rFonts w:ascii="Verdana" w:eastAsia="Batang" w:hAnsi="Verdana"/>
            <w:i/>
            <w:color w:val="0000FF"/>
            <w:sz w:val="18"/>
            <w:szCs w:val="18"/>
            <w:u w:val="single"/>
            <w:lang w:val="el-GR" w:eastAsia="el-GR"/>
          </w:rPr>
          <w:t>.</w:t>
        </w:r>
        <w:r w:rsidRPr="000E41C0">
          <w:rPr>
            <w:rFonts w:ascii="Verdana" w:eastAsia="Batang" w:hAnsi="Verdana"/>
            <w:i/>
            <w:color w:val="0000FF"/>
            <w:sz w:val="18"/>
            <w:szCs w:val="18"/>
            <w:u w:val="single"/>
            <w:lang w:val="en-US" w:eastAsia="el-GR"/>
          </w:rPr>
          <w:t>gr</w:t>
        </w:r>
      </w:hyperlink>
      <w:r w:rsidRPr="000E41C0">
        <w:rPr>
          <w:rFonts w:ascii="Verdana" w:eastAsia="Batang" w:hAnsi="Verdana"/>
          <w:i/>
          <w:sz w:val="18"/>
          <w:szCs w:val="18"/>
          <w:lang w:val="el-GR" w:eastAsia="el-GR"/>
        </w:rPr>
        <w:t xml:space="preserve">) </w:t>
      </w:r>
      <w:r w:rsidR="006473A4">
        <w:rPr>
          <w:rFonts w:ascii="Verdana" w:eastAsia="Batang" w:hAnsi="Verdana"/>
          <w:i/>
          <w:sz w:val="18"/>
          <w:szCs w:val="18"/>
          <w:lang w:val="el-GR" w:eastAsia="el-GR"/>
        </w:rPr>
        <w:t xml:space="preserve">λειτουργεί ως </w:t>
      </w:r>
      <w:r w:rsidRPr="000E41C0">
        <w:rPr>
          <w:rFonts w:ascii="Verdana" w:eastAsia="Batang" w:hAnsi="Verdana"/>
          <w:i/>
          <w:sz w:val="18"/>
          <w:szCs w:val="18"/>
          <w:lang w:val="el-GR" w:eastAsia="el-GR"/>
        </w:rPr>
        <w:t>επιστημονική εγκατάσταση εθνικής χρήσης στο Εθνικό Ίδρυμα Ερευνών. Ως εθνική υποδομή, το ΕΚΤ έχει θεσμικό ρόλο τη συλλογή, οργάνωση, διάθεση και διατήρηση του συνόλου της ελληνικής επιστημονικής, ερευνητικής και πολιτιστικής παραγωγής (περιεχόμενο και δεδομένα) και τη διά</w:t>
      </w:r>
      <w:r w:rsidR="006A3B44">
        <w:rPr>
          <w:rFonts w:ascii="Verdana" w:eastAsia="Batang" w:hAnsi="Verdana"/>
          <w:i/>
          <w:sz w:val="18"/>
          <w:szCs w:val="18"/>
          <w:lang w:val="el-GR" w:eastAsia="el-GR"/>
        </w:rPr>
        <w:t xml:space="preserve">χυσή </w:t>
      </w:r>
      <w:r w:rsidRPr="000E41C0">
        <w:rPr>
          <w:rFonts w:ascii="Verdana" w:eastAsia="Batang" w:hAnsi="Verdana"/>
          <w:i/>
          <w:sz w:val="18"/>
          <w:szCs w:val="18"/>
          <w:lang w:val="el-GR" w:eastAsia="el-GR"/>
        </w:rPr>
        <w:t xml:space="preserve">της, εντός και εκτός της χώρας. Παρέχει ευρεία πληροφόρηση για τα θέματα έρευνας &amp; καινοτομίας, υποστηρίζει τη συμμετοχή </w:t>
      </w:r>
      <w:r w:rsidR="001454F4">
        <w:rPr>
          <w:rFonts w:ascii="Verdana" w:eastAsia="Batang" w:hAnsi="Verdana"/>
          <w:i/>
          <w:sz w:val="18"/>
          <w:szCs w:val="18"/>
          <w:lang w:val="el-GR" w:eastAsia="el-GR"/>
        </w:rPr>
        <w:t xml:space="preserve">ερευνητικών ομάδων </w:t>
      </w:r>
      <w:r w:rsidRPr="000E41C0">
        <w:rPr>
          <w:rFonts w:ascii="Verdana" w:eastAsia="Batang" w:hAnsi="Verdana"/>
          <w:i/>
          <w:sz w:val="18"/>
          <w:szCs w:val="18"/>
          <w:lang w:val="el-GR" w:eastAsia="el-GR"/>
        </w:rPr>
        <w:t xml:space="preserve">σε εθνικά &amp; ευρωπαϊκά προγράμματα, προωθεί την καινοτόμο επιχειρηματικότητα και την αξιοποίηση ερευνητικών αποτελεσμάτων, και παράγει στατιστικές &amp; δείκτες για την έρευνα, την ανάπτυξη και την καινοτομία στην Ελλάδα.  </w:t>
      </w:r>
    </w:p>
    <w:p w:rsidR="00490B85" w:rsidRPr="000E41C0" w:rsidRDefault="00490B85" w:rsidP="00490B85">
      <w:pPr>
        <w:jc w:val="both"/>
        <w:rPr>
          <w:rFonts w:ascii="Verdana" w:eastAsia="Batang" w:hAnsi="Verdana"/>
          <w:i/>
          <w:sz w:val="8"/>
          <w:szCs w:val="18"/>
          <w:lang w:val="el-GR" w:eastAsia="el-GR"/>
        </w:rPr>
      </w:pPr>
    </w:p>
    <w:p w:rsidR="00490B85" w:rsidRPr="000E41C0" w:rsidRDefault="00490B85" w:rsidP="00490B85">
      <w:pPr>
        <w:jc w:val="both"/>
        <w:rPr>
          <w:rFonts w:ascii="Verdana" w:eastAsia="Batang" w:hAnsi="Verdana"/>
          <w:i/>
          <w:sz w:val="18"/>
          <w:szCs w:val="18"/>
          <w:lang w:val="el-GR" w:eastAsia="el-GR"/>
        </w:rPr>
      </w:pPr>
      <w:r w:rsidRPr="000E41C0">
        <w:rPr>
          <w:rFonts w:ascii="Verdana" w:eastAsia="Batang" w:hAnsi="Verdana"/>
          <w:i/>
          <w:sz w:val="18"/>
          <w:szCs w:val="18"/>
          <w:lang w:val="el-GR" w:eastAsia="el-GR"/>
        </w:rPr>
        <w:t xml:space="preserve">Το ΕΚΤ αναπτύσσει και λειτουργεί ηλεκτρονική υποδομή, με υψηλή </w:t>
      </w:r>
      <w:proofErr w:type="spellStart"/>
      <w:r w:rsidRPr="000E41C0">
        <w:rPr>
          <w:rFonts w:ascii="Verdana" w:eastAsia="Batang" w:hAnsi="Verdana"/>
          <w:i/>
          <w:sz w:val="18"/>
          <w:szCs w:val="18"/>
          <w:lang w:val="el-GR" w:eastAsia="el-GR"/>
        </w:rPr>
        <w:t>επενδεδυμένη</w:t>
      </w:r>
      <w:proofErr w:type="spellEnd"/>
      <w:r w:rsidRPr="000E41C0">
        <w:rPr>
          <w:rFonts w:ascii="Verdana" w:eastAsia="Batang" w:hAnsi="Verdana"/>
          <w:i/>
          <w:sz w:val="18"/>
          <w:szCs w:val="18"/>
          <w:lang w:val="el-GR" w:eastAsia="el-GR"/>
        </w:rPr>
        <w:t xml:space="preserve"> αξία και διαδικασίες, που εξυπηρετεί εθνικ</w:t>
      </w:r>
      <w:r w:rsidR="006473A4">
        <w:rPr>
          <w:rFonts w:ascii="Verdana" w:eastAsia="Batang" w:hAnsi="Verdana"/>
          <w:i/>
          <w:sz w:val="18"/>
          <w:szCs w:val="18"/>
          <w:lang w:val="el-GR" w:eastAsia="el-GR"/>
        </w:rPr>
        <w:t>ές πολιτικές</w:t>
      </w:r>
      <w:r w:rsidRPr="000E41C0">
        <w:rPr>
          <w:rFonts w:ascii="Verdana" w:eastAsia="Batang" w:hAnsi="Verdana"/>
          <w:i/>
          <w:sz w:val="18"/>
          <w:szCs w:val="18"/>
          <w:lang w:val="el-GR" w:eastAsia="el-GR"/>
        </w:rPr>
        <w:t>, παρέχει προηγμένες ηλεκτρονικές υπηρεσίες</w:t>
      </w:r>
      <w:r w:rsidR="006473A4">
        <w:rPr>
          <w:rFonts w:ascii="Verdana" w:eastAsia="Batang" w:hAnsi="Verdana"/>
          <w:i/>
          <w:sz w:val="18"/>
          <w:szCs w:val="18"/>
          <w:lang w:val="el-GR" w:eastAsia="el-GR"/>
        </w:rPr>
        <w:t xml:space="preserve"> σε πλήθος φορέων και χρηστών, </w:t>
      </w:r>
      <w:r w:rsidR="006A3B44">
        <w:rPr>
          <w:rFonts w:ascii="Verdana" w:eastAsia="Batang" w:hAnsi="Verdana"/>
          <w:i/>
          <w:sz w:val="18"/>
          <w:szCs w:val="18"/>
          <w:lang w:val="el-GR" w:eastAsia="el-GR"/>
        </w:rPr>
        <w:t xml:space="preserve">και διασφαλίζει </w:t>
      </w:r>
      <w:r w:rsidRPr="000E41C0">
        <w:rPr>
          <w:rFonts w:ascii="Verdana" w:eastAsia="Batang" w:hAnsi="Verdana"/>
          <w:i/>
          <w:sz w:val="18"/>
          <w:szCs w:val="18"/>
          <w:lang w:val="el-GR" w:eastAsia="el-GR"/>
        </w:rPr>
        <w:t>ανοικτή πρόσβαση σ</w:t>
      </w:r>
      <w:r w:rsidR="0007062A">
        <w:rPr>
          <w:rFonts w:ascii="Verdana" w:eastAsia="Batang" w:hAnsi="Verdana"/>
          <w:i/>
          <w:sz w:val="18"/>
          <w:szCs w:val="18"/>
          <w:lang w:val="el-GR" w:eastAsia="el-GR"/>
        </w:rPr>
        <w:t xml:space="preserve">ε έγκριτη </w:t>
      </w:r>
      <w:r w:rsidRPr="000E41C0">
        <w:rPr>
          <w:rFonts w:ascii="Verdana" w:eastAsia="Batang" w:hAnsi="Verdana"/>
          <w:i/>
          <w:sz w:val="18"/>
          <w:szCs w:val="18"/>
          <w:lang w:val="el-GR" w:eastAsia="el-GR"/>
        </w:rPr>
        <w:t xml:space="preserve">γνώση </w:t>
      </w:r>
      <w:r w:rsidR="006A3B44">
        <w:rPr>
          <w:rFonts w:ascii="Verdana" w:eastAsia="Batang" w:hAnsi="Verdana"/>
          <w:i/>
          <w:sz w:val="18"/>
          <w:szCs w:val="18"/>
          <w:lang w:val="el-GR" w:eastAsia="el-GR"/>
        </w:rPr>
        <w:t xml:space="preserve">σε οποιονδήποτε </w:t>
      </w:r>
      <w:r w:rsidRPr="000E41C0">
        <w:rPr>
          <w:rFonts w:ascii="Verdana" w:eastAsia="Batang" w:hAnsi="Verdana"/>
          <w:i/>
          <w:sz w:val="18"/>
          <w:szCs w:val="18"/>
          <w:lang w:val="el-GR" w:eastAsia="el-GR"/>
        </w:rPr>
        <w:t xml:space="preserve">από οπουδήποτε. </w:t>
      </w:r>
    </w:p>
    <w:p w:rsidR="00490B85" w:rsidRPr="000E41C0" w:rsidRDefault="00490B85" w:rsidP="00490B85">
      <w:pPr>
        <w:jc w:val="both"/>
        <w:rPr>
          <w:rFonts w:ascii="Verdana" w:eastAsia="Batang" w:hAnsi="Verdana"/>
          <w:i/>
          <w:sz w:val="6"/>
          <w:szCs w:val="18"/>
          <w:lang w:val="el-GR" w:eastAsia="el-GR"/>
        </w:rPr>
      </w:pPr>
    </w:p>
    <w:p w:rsidR="003E0A63" w:rsidRDefault="003E0A63" w:rsidP="009A535F">
      <w:pPr>
        <w:jc w:val="both"/>
        <w:rPr>
          <w:rFonts w:ascii="Verdana" w:hAnsi="Verdana"/>
          <w:b/>
          <w:szCs w:val="24"/>
          <w:lang w:val="el-GR"/>
        </w:rPr>
      </w:pPr>
    </w:p>
    <w:p w:rsidR="00B75314" w:rsidRPr="00B75314" w:rsidRDefault="009A535F" w:rsidP="009A535F">
      <w:pPr>
        <w:jc w:val="both"/>
        <w:rPr>
          <w:rFonts w:ascii="Verdana" w:hAnsi="Verdana"/>
          <w:b/>
          <w:szCs w:val="24"/>
          <w:lang w:val="el-GR"/>
        </w:rPr>
      </w:pPr>
      <w:r w:rsidRPr="00B75314">
        <w:rPr>
          <w:rFonts w:ascii="Verdana" w:hAnsi="Verdana"/>
          <w:b/>
          <w:szCs w:val="24"/>
          <w:lang w:val="el-GR"/>
        </w:rPr>
        <w:lastRenderedPageBreak/>
        <w:t>Διαγράμματα</w:t>
      </w:r>
      <w:r w:rsidR="00B75314" w:rsidRPr="00B75314">
        <w:rPr>
          <w:rFonts w:ascii="Verdana" w:hAnsi="Verdana"/>
          <w:b/>
          <w:szCs w:val="24"/>
          <w:lang w:val="el-GR"/>
        </w:rPr>
        <w:t>-Πίνακες</w:t>
      </w:r>
      <w:r w:rsidRPr="00B75314">
        <w:rPr>
          <w:rFonts w:ascii="Verdana" w:hAnsi="Verdana"/>
          <w:b/>
          <w:szCs w:val="24"/>
          <w:lang w:val="el-GR"/>
        </w:rPr>
        <w:t xml:space="preserve"> για </w:t>
      </w:r>
      <w:r w:rsidR="00E73368" w:rsidRPr="00B75314">
        <w:rPr>
          <w:rFonts w:ascii="Verdana" w:hAnsi="Verdana"/>
          <w:b/>
          <w:szCs w:val="24"/>
          <w:lang w:val="el-GR"/>
        </w:rPr>
        <w:t xml:space="preserve">δαπάνες </w:t>
      </w:r>
      <w:r w:rsidR="006A21EB" w:rsidRPr="00B75314">
        <w:rPr>
          <w:rFonts w:ascii="Verdana" w:hAnsi="Verdana"/>
          <w:b/>
          <w:szCs w:val="24"/>
          <w:lang w:val="el-GR"/>
        </w:rPr>
        <w:t>Έρευνα</w:t>
      </w:r>
      <w:r w:rsidR="00E73368" w:rsidRPr="00B75314">
        <w:rPr>
          <w:rFonts w:ascii="Verdana" w:hAnsi="Verdana"/>
          <w:b/>
          <w:szCs w:val="24"/>
          <w:lang w:val="el-GR"/>
        </w:rPr>
        <w:t>ς</w:t>
      </w:r>
      <w:r w:rsidR="006A21EB" w:rsidRPr="00B75314">
        <w:rPr>
          <w:rFonts w:ascii="Verdana" w:hAnsi="Verdana"/>
          <w:b/>
          <w:szCs w:val="24"/>
          <w:lang w:val="el-GR"/>
        </w:rPr>
        <w:t xml:space="preserve"> &amp; Ανάπτυξη</w:t>
      </w:r>
      <w:r w:rsidR="00E73368" w:rsidRPr="00B75314">
        <w:rPr>
          <w:rFonts w:ascii="Verdana" w:hAnsi="Verdana"/>
          <w:b/>
          <w:szCs w:val="24"/>
          <w:lang w:val="el-GR"/>
        </w:rPr>
        <w:t>ς</w:t>
      </w:r>
      <w:r w:rsidR="006A21EB" w:rsidRPr="00B75314">
        <w:rPr>
          <w:rFonts w:ascii="Verdana" w:hAnsi="Verdana"/>
          <w:b/>
          <w:szCs w:val="24"/>
          <w:lang w:val="el-GR"/>
        </w:rPr>
        <w:t xml:space="preserve"> </w:t>
      </w:r>
    </w:p>
    <w:p w:rsidR="00AD352E" w:rsidRDefault="006A21EB" w:rsidP="00AD352E">
      <w:pPr>
        <w:jc w:val="both"/>
        <w:rPr>
          <w:rFonts w:ascii="Verdana" w:hAnsi="Verdana"/>
          <w:b/>
          <w:szCs w:val="24"/>
          <w:lang w:val="el-GR"/>
        </w:rPr>
      </w:pPr>
      <w:r w:rsidRPr="00B75314">
        <w:rPr>
          <w:rFonts w:ascii="Verdana" w:hAnsi="Verdana"/>
          <w:b/>
          <w:szCs w:val="24"/>
          <w:lang w:val="el-GR"/>
        </w:rPr>
        <w:t>στην Ελλάδα το 201</w:t>
      </w:r>
      <w:r w:rsidR="00490B85">
        <w:rPr>
          <w:rFonts w:ascii="Verdana" w:hAnsi="Verdana"/>
          <w:b/>
          <w:szCs w:val="24"/>
          <w:lang w:val="el-GR"/>
        </w:rPr>
        <w:t>5</w:t>
      </w:r>
      <w:r w:rsidRPr="00B75314">
        <w:rPr>
          <w:rFonts w:ascii="Verdana" w:hAnsi="Verdana"/>
          <w:b/>
          <w:szCs w:val="24"/>
          <w:lang w:val="el-GR"/>
        </w:rPr>
        <w:t xml:space="preserve"> </w:t>
      </w:r>
    </w:p>
    <w:p w:rsidR="00464CE2" w:rsidRPr="008F7AF3" w:rsidRDefault="00464CE2" w:rsidP="00AD352E">
      <w:pPr>
        <w:jc w:val="both"/>
        <w:rPr>
          <w:rFonts w:ascii="Verdana" w:hAnsi="Verdana"/>
          <w:b/>
          <w:sz w:val="22"/>
          <w:szCs w:val="24"/>
          <w:lang w:val="el-GR"/>
        </w:rPr>
      </w:pPr>
    </w:p>
    <w:p w:rsidR="00E1626B" w:rsidRPr="008F7AF3" w:rsidRDefault="00E1626B" w:rsidP="00E1626B">
      <w:pPr>
        <w:jc w:val="both"/>
        <w:rPr>
          <w:rFonts w:ascii="Verdana" w:hAnsi="Verdana"/>
          <w:b/>
          <w:sz w:val="20"/>
          <w:szCs w:val="24"/>
          <w:lang w:val="el-GR"/>
        </w:rPr>
      </w:pPr>
      <w:r w:rsidRPr="008F7AF3">
        <w:rPr>
          <w:rFonts w:ascii="Verdana" w:hAnsi="Verdana"/>
          <w:b/>
          <w:sz w:val="20"/>
          <w:szCs w:val="24"/>
          <w:lang w:val="el-GR"/>
        </w:rPr>
        <w:t>Δαπάνες Ε&amp;Α και Ένταση Ε&amp;Α (Δαπάνες Ε&amp;Α ως % του ΑΕΠ), 2011 – 2015</w:t>
      </w:r>
    </w:p>
    <w:p w:rsidR="00E1626B" w:rsidRDefault="00E1626B" w:rsidP="00AD352E">
      <w:pPr>
        <w:jc w:val="both"/>
        <w:rPr>
          <w:rFonts w:ascii="Verdana" w:hAnsi="Verdana"/>
          <w:b/>
          <w:szCs w:val="24"/>
          <w:lang w:val="el-GR"/>
        </w:rPr>
      </w:pPr>
      <w:r>
        <w:rPr>
          <w:rFonts w:ascii="Verdana" w:hAnsi="Verdana"/>
          <w:b/>
          <w:noProof/>
          <w:szCs w:val="24"/>
          <w:lang w:val="el-GR" w:eastAsia="el-GR"/>
        </w:rPr>
        <w:drawing>
          <wp:anchor distT="0" distB="0" distL="114300" distR="114300" simplePos="0" relativeHeight="251658752" behindDoc="0" locked="0" layoutInCell="1" allowOverlap="1" wp14:anchorId="652F40C1" wp14:editId="60D42485">
            <wp:simplePos x="0" y="0"/>
            <wp:positionH relativeFrom="margin">
              <wp:align>left</wp:align>
            </wp:positionH>
            <wp:positionV relativeFrom="paragraph">
              <wp:posOffset>209550</wp:posOffset>
            </wp:positionV>
            <wp:extent cx="5343525" cy="3423920"/>
            <wp:effectExtent l="0" t="0" r="0" b="5080"/>
            <wp:wrapTopAndBottom/>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54520" cy="3431264"/>
                    </a:xfrm>
                    <a:prstGeom prst="rect">
                      <a:avLst/>
                    </a:prstGeom>
                    <a:noFill/>
                  </pic:spPr>
                </pic:pic>
              </a:graphicData>
            </a:graphic>
            <wp14:sizeRelH relativeFrom="margin">
              <wp14:pctWidth>0</wp14:pctWidth>
            </wp14:sizeRelH>
            <wp14:sizeRelV relativeFrom="margin">
              <wp14:pctHeight>0</wp14:pctHeight>
            </wp14:sizeRelV>
          </wp:anchor>
        </w:drawing>
      </w:r>
    </w:p>
    <w:p w:rsidR="00E1626B" w:rsidRDefault="00E1626B" w:rsidP="00AD352E">
      <w:pPr>
        <w:jc w:val="both"/>
        <w:rPr>
          <w:rFonts w:ascii="Verdana" w:hAnsi="Verdana"/>
          <w:b/>
          <w:szCs w:val="24"/>
          <w:lang w:val="el-GR"/>
        </w:rPr>
      </w:pPr>
    </w:p>
    <w:p w:rsidR="00464CE2" w:rsidRDefault="007A6553" w:rsidP="00AD352E">
      <w:pPr>
        <w:jc w:val="both"/>
        <w:rPr>
          <w:rFonts w:ascii="Verdana" w:hAnsi="Verdana"/>
          <w:b/>
          <w:szCs w:val="24"/>
          <w:lang w:val="el-GR"/>
        </w:rPr>
      </w:pPr>
      <w:r>
        <w:rPr>
          <w:rFonts w:ascii="Verdana" w:hAnsi="Verdana"/>
          <w:b/>
          <w:noProof/>
          <w:szCs w:val="24"/>
          <w:lang w:val="el-GR" w:eastAsia="el-GR"/>
        </w:rPr>
        <w:drawing>
          <wp:inline distT="0" distB="0" distL="0" distR="0">
            <wp:extent cx="5730704" cy="1834625"/>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2_RDstatistics2015_Greec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58292" cy="1843457"/>
                    </a:xfrm>
                    <a:prstGeom prst="rect">
                      <a:avLst/>
                    </a:prstGeom>
                  </pic:spPr>
                </pic:pic>
              </a:graphicData>
            </a:graphic>
          </wp:inline>
        </w:drawing>
      </w:r>
      <w:r w:rsidR="008C73AA">
        <w:rPr>
          <w:rFonts w:ascii="Verdana" w:hAnsi="Verdana"/>
          <w:b/>
          <w:szCs w:val="24"/>
          <w:lang w:val="el-GR"/>
        </w:rPr>
        <w:br/>
      </w:r>
    </w:p>
    <w:p w:rsidR="00464CE2" w:rsidRDefault="00464CE2" w:rsidP="00AD352E">
      <w:pPr>
        <w:jc w:val="both"/>
        <w:rPr>
          <w:rFonts w:ascii="Verdana" w:hAnsi="Verdana"/>
          <w:b/>
          <w:szCs w:val="24"/>
          <w:lang w:val="el-GR"/>
        </w:rPr>
      </w:pPr>
    </w:p>
    <w:p w:rsidR="008F28B7" w:rsidRPr="00AB7A8F" w:rsidRDefault="007A6553" w:rsidP="007A6553">
      <w:pPr>
        <w:jc w:val="both"/>
        <w:rPr>
          <w:rFonts w:ascii="Arial" w:eastAsia="Calibri" w:hAnsi="Arial" w:cs="Arial"/>
          <w:b/>
          <w:iCs/>
          <w:color w:val="0070C0"/>
          <w:sz w:val="20"/>
          <w:szCs w:val="16"/>
          <w:lang w:val="en-US"/>
        </w:rPr>
      </w:pPr>
      <w:r>
        <w:rPr>
          <w:rFonts w:ascii="Verdana" w:hAnsi="Verdana"/>
          <w:b/>
          <w:noProof/>
          <w:sz w:val="20"/>
          <w:szCs w:val="24"/>
          <w:lang w:val="el-GR" w:eastAsia="el-GR"/>
        </w:rPr>
        <w:drawing>
          <wp:inline distT="0" distB="0" distL="0" distR="0">
            <wp:extent cx="5816670" cy="2020999"/>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3_RDstatistics2015_Greec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843065" cy="2030170"/>
                    </a:xfrm>
                    <a:prstGeom prst="rect">
                      <a:avLst/>
                    </a:prstGeom>
                  </pic:spPr>
                </pic:pic>
              </a:graphicData>
            </a:graphic>
          </wp:inline>
        </w:drawing>
      </w:r>
      <w:r w:rsidR="008F7AF3">
        <w:rPr>
          <w:rFonts w:ascii="Verdana" w:hAnsi="Verdana"/>
          <w:b/>
          <w:sz w:val="20"/>
          <w:szCs w:val="24"/>
          <w:lang w:val="el-GR"/>
        </w:rPr>
        <w:br/>
      </w:r>
    </w:p>
    <w:p w:rsidR="008F28B7" w:rsidRDefault="008F28B7" w:rsidP="003F3073">
      <w:pPr>
        <w:keepNext/>
        <w:rPr>
          <w:rFonts w:ascii="Arial" w:eastAsia="Calibri" w:hAnsi="Arial" w:cs="Arial"/>
          <w:b/>
          <w:iCs/>
          <w:color w:val="0070C0"/>
          <w:sz w:val="20"/>
          <w:szCs w:val="16"/>
          <w:lang w:val="el-GR"/>
        </w:rPr>
      </w:pPr>
    </w:p>
    <w:sectPr w:rsidR="008F28B7">
      <w:headerReference w:type="even" r:id="rId20"/>
      <w:headerReference w:type="default" r:id="rId21"/>
      <w:footerReference w:type="even" r:id="rId22"/>
      <w:footerReference w:type="default" r:id="rId23"/>
      <w:headerReference w:type="first" r:id="rId24"/>
      <w:footerReference w:type="first" r:id="rId25"/>
      <w:pgSz w:w="11906" w:h="16838" w:code="9"/>
      <w:pgMar w:top="1135" w:right="1797" w:bottom="851"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2E9" w:rsidRDefault="007F12E9">
      <w:r>
        <w:separator/>
      </w:r>
    </w:p>
  </w:endnote>
  <w:endnote w:type="continuationSeparator" w:id="0">
    <w:p w:rsidR="007F12E9" w:rsidRDefault="007F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E6" w:rsidRDefault="00FF51E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E6" w:rsidRPr="00575310" w:rsidRDefault="00FF51E6" w:rsidP="00147A16">
    <w:pPr>
      <w:pStyle w:val="a4"/>
      <w:pBdr>
        <w:top w:val="single" w:sz="2" w:space="1" w:color="auto"/>
      </w:pBdr>
      <w:tabs>
        <w:tab w:val="clear" w:pos="8640"/>
        <w:tab w:val="right" w:pos="-3969"/>
      </w:tabs>
      <w:ind w:right="283"/>
      <w:jc w:val="center"/>
      <w:rPr>
        <w:rFonts w:ascii="Verdana" w:hAnsi="Verdana" w:cs="Tahoma"/>
        <w:sz w:val="16"/>
        <w:szCs w:val="16"/>
        <w:lang w:val="el-GR"/>
      </w:rPr>
    </w:pPr>
    <w:r w:rsidRPr="00575310">
      <w:rPr>
        <w:rFonts w:ascii="Verdana" w:hAnsi="Verdana" w:cs="Tahoma"/>
        <w:sz w:val="16"/>
        <w:szCs w:val="16"/>
        <w:lang w:val="el-GR"/>
      </w:rPr>
      <w:t>ΕΘΝΙΚΟ ΚΕΝΤΡΟ ΤΕΚΜΗΡΙΩΣΗΣ, Εθνικό Ίδρ</w:t>
    </w:r>
    <w:r>
      <w:rPr>
        <w:rFonts w:ascii="Verdana" w:hAnsi="Verdana" w:cs="Tahoma"/>
        <w:sz w:val="16"/>
        <w:szCs w:val="16"/>
        <w:lang w:val="el-GR"/>
      </w:rPr>
      <w:t>υ</w:t>
    </w:r>
    <w:r w:rsidRPr="00575310">
      <w:rPr>
        <w:rFonts w:ascii="Verdana" w:hAnsi="Verdana" w:cs="Tahoma"/>
        <w:sz w:val="16"/>
        <w:szCs w:val="16"/>
        <w:lang w:val="el-GR"/>
      </w:rPr>
      <w:t xml:space="preserve">μα Ερευνών, </w:t>
    </w:r>
    <w:proofErr w:type="spellStart"/>
    <w:r w:rsidRPr="00575310">
      <w:rPr>
        <w:rFonts w:ascii="Verdana" w:hAnsi="Verdana" w:cs="Tahoma"/>
        <w:sz w:val="16"/>
        <w:szCs w:val="16"/>
        <w:lang w:val="el-GR"/>
      </w:rPr>
      <w:t>Βασ</w:t>
    </w:r>
    <w:proofErr w:type="spellEnd"/>
    <w:r w:rsidRPr="00575310">
      <w:rPr>
        <w:rFonts w:ascii="Verdana" w:hAnsi="Verdana" w:cs="Tahoma"/>
        <w:sz w:val="16"/>
        <w:szCs w:val="16"/>
        <w:lang w:val="el-GR"/>
      </w:rPr>
      <w:t>. Κωνσταντίνου 48, 11635 Αθήνα</w:t>
    </w:r>
  </w:p>
  <w:p w:rsidR="00FF51E6" w:rsidRPr="00147A16" w:rsidRDefault="00FF51E6" w:rsidP="00147A16">
    <w:pPr>
      <w:pStyle w:val="a4"/>
      <w:tabs>
        <w:tab w:val="clear" w:pos="8640"/>
      </w:tabs>
      <w:ind w:right="283"/>
      <w:jc w:val="center"/>
      <w:rPr>
        <w:lang w:val="fr-FR"/>
      </w:rPr>
    </w:pPr>
    <w:proofErr w:type="spellStart"/>
    <w:r w:rsidRPr="00575310">
      <w:rPr>
        <w:rFonts w:ascii="Verdana" w:hAnsi="Verdana" w:cs="Tahoma"/>
        <w:sz w:val="16"/>
        <w:szCs w:val="16"/>
        <w:lang w:val="el-GR"/>
      </w:rPr>
      <w:t>Τηλ</w:t>
    </w:r>
    <w:proofErr w:type="spellEnd"/>
    <w:r w:rsidRPr="00575310">
      <w:rPr>
        <w:rFonts w:ascii="Verdana" w:hAnsi="Verdana" w:cs="Tahoma"/>
        <w:sz w:val="16"/>
        <w:szCs w:val="16"/>
        <w:lang w:val="fr-FR"/>
      </w:rPr>
      <w:t xml:space="preserve">: 210 7273900, Fax: 210 7246824, E-mail: ekt@ekt.gr, http://www.ekt.gr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E6" w:rsidRDefault="00FF51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2E9" w:rsidRDefault="007F12E9">
      <w:r>
        <w:separator/>
      </w:r>
    </w:p>
  </w:footnote>
  <w:footnote w:type="continuationSeparator" w:id="0">
    <w:p w:rsidR="007F12E9" w:rsidRDefault="007F1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E6" w:rsidRDefault="00FF51E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E6" w:rsidRDefault="00FF51E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E6" w:rsidRDefault="00FF51E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7764"/>
    <w:multiLevelType w:val="hybridMultilevel"/>
    <w:tmpl w:val="3C82A7F0"/>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nsid w:val="04E73AA4"/>
    <w:multiLevelType w:val="hybridMultilevel"/>
    <w:tmpl w:val="6194CE8A"/>
    <w:lvl w:ilvl="0" w:tplc="29A8833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A9C3429"/>
    <w:multiLevelType w:val="hybridMultilevel"/>
    <w:tmpl w:val="A71A4196"/>
    <w:lvl w:ilvl="0" w:tplc="0216613A">
      <w:numFmt w:val="bullet"/>
      <w:lvlText w:val="•"/>
      <w:lvlJc w:val="left"/>
      <w:pPr>
        <w:ind w:left="294" w:hanging="720"/>
      </w:pPr>
      <w:rPr>
        <w:rFonts w:ascii="Verdana" w:eastAsia="Times New Roman" w:hAnsi="Verdana" w:cs="Times New Roman" w:hint="default"/>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3">
    <w:nsid w:val="0D232E17"/>
    <w:multiLevelType w:val="hybridMultilevel"/>
    <w:tmpl w:val="AD144AF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0F2A6B93"/>
    <w:multiLevelType w:val="hybridMultilevel"/>
    <w:tmpl w:val="78D4F3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384624C"/>
    <w:multiLevelType w:val="hybridMultilevel"/>
    <w:tmpl w:val="793ED7D0"/>
    <w:lvl w:ilvl="0" w:tplc="3F96EEAA">
      <w:start w:val="1"/>
      <w:numFmt w:val="bullet"/>
      <w:lvlText w:val=""/>
      <w:lvlJc w:val="left"/>
      <w:pPr>
        <w:tabs>
          <w:tab w:val="num" w:pos="2028"/>
        </w:tabs>
        <w:ind w:left="2028" w:hanging="1460"/>
      </w:pPr>
      <w:rPr>
        <w:rFonts w:ascii="Symbol" w:hAnsi="Symbol" w:hint="default"/>
        <w:color w:val="auto"/>
        <w:sz w:val="24"/>
        <w:szCs w:val="24"/>
      </w:rPr>
    </w:lvl>
    <w:lvl w:ilvl="1" w:tplc="04080003" w:tentative="1">
      <w:start w:val="1"/>
      <w:numFmt w:val="bullet"/>
      <w:lvlText w:val="o"/>
      <w:lvlJc w:val="left"/>
      <w:pPr>
        <w:tabs>
          <w:tab w:val="num" w:pos="1648"/>
        </w:tabs>
        <w:ind w:left="1648" w:hanging="360"/>
      </w:pPr>
      <w:rPr>
        <w:rFonts w:ascii="Courier New" w:hAnsi="Courier New" w:cs="Courier New" w:hint="default"/>
      </w:rPr>
    </w:lvl>
    <w:lvl w:ilvl="2" w:tplc="04080005" w:tentative="1">
      <w:start w:val="1"/>
      <w:numFmt w:val="bullet"/>
      <w:lvlText w:val=""/>
      <w:lvlJc w:val="left"/>
      <w:pPr>
        <w:tabs>
          <w:tab w:val="num" w:pos="2368"/>
        </w:tabs>
        <w:ind w:left="2368" w:hanging="360"/>
      </w:pPr>
      <w:rPr>
        <w:rFonts w:ascii="Wingdings" w:hAnsi="Wingdings" w:hint="default"/>
      </w:rPr>
    </w:lvl>
    <w:lvl w:ilvl="3" w:tplc="04080001" w:tentative="1">
      <w:start w:val="1"/>
      <w:numFmt w:val="bullet"/>
      <w:lvlText w:val=""/>
      <w:lvlJc w:val="left"/>
      <w:pPr>
        <w:tabs>
          <w:tab w:val="num" w:pos="3088"/>
        </w:tabs>
        <w:ind w:left="3088" w:hanging="360"/>
      </w:pPr>
      <w:rPr>
        <w:rFonts w:ascii="Symbol" w:hAnsi="Symbol" w:hint="default"/>
      </w:rPr>
    </w:lvl>
    <w:lvl w:ilvl="4" w:tplc="04080003" w:tentative="1">
      <w:start w:val="1"/>
      <w:numFmt w:val="bullet"/>
      <w:lvlText w:val="o"/>
      <w:lvlJc w:val="left"/>
      <w:pPr>
        <w:tabs>
          <w:tab w:val="num" w:pos="3808"/>
        </w:tabs>
        <w:ind w:left="3808" w:hanging="360"/>
      </w:pPr>
      <w:rPr>
        <w:rFonts w:ascii="Courier New" w:hAnsi="Courier New" w:cs="Courier New" w:hint="default"/>
      </w:rPr>
    </w:lvl>
    <w:lvl w:ilvl="5" w:tplc="04080005" w:tentative="1">
      <w:start w:val="1"/>
      <w:numFmt w:val="bullet"/>
      <w:lvlText w:val=""/>
      <w:lvlJc w:val="left"/>
      <w:pPr>
        <w:tabs>
          <w:tab w:val="num" w:pos="4528"/>
        </w:tabs>
        <w:ind w:left="4528" w:hanging="360"/>
      </w:pPr>
      <w:rPr>
        <w:rFonts w:ascii="Wingdings" w:hAnsi="Wingdings" w:hint="default"/>
      </w:rPr>
    </w:lvl>
    <w:lvl w:ilvl="6" w:tplc="04080001" w:tentative="1">
      <w:start w:val="1"/>
      <w:numFmt w:val="bullet"/>
      <w:lvlText w:val=""/>
      <w:lvlJc w:val="left"/>
      <w:pPr>
        <w:tabs>
          <w:tab w:val="num" w:pos="5248"/>
        </w:tabs>
        <w:ind w:left="5248" w:hanging="360"/>
      </w:pPr>
      <w:rPr>
        <w:rFonts w:ascii="Symbol" w:hAnsi="Symbol" w:hint="default"/>
      </w:rPr>
    </w:lvl>
    <w:lvl w:ilvl="7" w:tplc="04080003" w:tentative="1">
      <w:start w:val="1"/>
      <w:numFmt w:val="bullet"/>
      <w:lvlText w:val="o"/>
      <w:lvlJc w:val="left"/>
      <w:pPr>
        <w:tabs>
          <w:tab w:val="num" w:pos="5968"/>
        </w:tabs>
        <w:ind w:left="5968" w:hanging="360"/>
      </w:pPr>
      <w:rPr>
        <w:rFonts w:ascii="Courier New" w:hAnsi="Courier New" w:cs="Courier New" w:hint="default"/>
      </w:rPr>
    </w:lvl>
    <w:lvl w:ilvl="8" w:tplc="04080005" w:tentative="1">
      <w:start w:val="1"/>
      <w:numFmt w:val="bullet"/>
      <w:lvlText w:val=""/>
      <w:lvlJc w:val="left"/>
      <w:pPr>
        <w:tabs>
          <w:tab w:val="num" w:pos="6688"/>
        </w:tabs>
        <w:ind w:left="6688" w:hanging="360"/>
      </w:pPr>
      <w:rPr>
        <w:rFonts w:ascii="Wingdings" w:hAnsi="Wingdings" w:hint="default"/>
      </w:rPr>
    </w:lvl>
  </w:abstractNum>
  <w:abstractNum w:abstractNumId="6">
    <w:nsid w:val="17E6070D"/>
    <w:multiLevelType w:val="hybridMultilevel"/>
    <w:tmpl w:val="5AFE5BDE"/>
    <w:lvl w:ilvl="0" w:tplc="5EF08AA6">
      <w:start w:val="21"/>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95E53D6"/>
    <w:multiLevelType w:val="hybridMultilevel"/>
    <w:tmpl w:val="5DC6E938"/>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1AEE4990"/>
    <w:multiLevelType w:val="hybridMultilevel"/>
    <w:tmpl w:val="9D36A2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B5B33C9"/>
    <w:multiLevelType w:val="hybridMultilevel"/>
    <w:tmpl w:val="DDA2371C"/>
    <w:lvl w:ilvl="0" w:tplc="43324194">
      <w:start w:val="1"/>
      <w:numFmt w:val="bullet"/>
      <w:lvlText w:val=""/>
      <w:lvlJc w:val="left"/>
      <w:pPr>
        <w:tabs>
          <w:tab w:val="num" w:pos="720"/>
        </w:tabs>
        <w:ind w:left="720" w:hanging="360"/>
      </w:pPr>
      <w:rPr>
        <w:rFonts w:ascii="Wingdings" w:hAnsi="Wingdings" w:hint="default"/>
        <w:color w:val="9999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F82BBB"/>
    <w:multiLevelType w:val="hybridMultilevel"/>
    <w:tmpl w:val="C4325000"/>
    <w:lvl w:ilvl="0" w:tplc="BEF42D9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CBC08E4"/>
    <w:multiLevelType w:val="hybridMultilevel"/>
    <w:tmpl w:val="AB4E7E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DDC32C4"/>
    <w:multiLevelType w:val="hybridMultilevel"/>
    <w:tmpl w:val="98CC5670"/>
    <w:lvl w:ilvl="0" w:tplc="04080001">
      <w:start w:val="1"/>
      <w:numFmt w:val="bullet"/>
      <w:lvlText w:val=""/>
      <w:lvlJc w:val="left"/>
      <w:pPr>
        <w:tabs>
          <w:tab w:val="num" w:pos="436"/>
        </w:tabs>
        <w:ind w:left="436" w:hanging="360"/>
      </w:pPr>
      <w:rPr>
        <w:rFonts w:ascii="Symbol" w:hAnsi="Symbol" w:hint="default"/>
      </w:rPr>
    </w:lvl>
    <w:lvl w:ilvl="1" w:tplc="04080003" w:tentative="1">
      <w:start w:val="1"/>
      <w:numFmt w:val="bullet"/>
      <w:lvlText w:val="o"/>
      <w:lvlJc w:val="left"/>
      <w:pPr>
        <w:tabs>
          <w:tab w:val="num" w:pos="1156"/>
        </w:tabs>
        <w:ind w:left="1156" w:hanging="360"/>
      </w:pPr>
      <w:rPr>
        <w:rFonts w:ascii="Courier New" w:hAnsi="Courier New" w:cs="Courier New" w:hint="default"/>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abstractNum w:abstractNumId="13">
    <w:nsid w:val="21A43DA3"/>
    <w:multiLevelType w:val="hybridMultilevel"/>
    <w:tmpl w:val="A8F8D6A6"/>
    <w:lvl w:ilvl="0" w:tplc="CFAC9310">
      <w:numFmt w:val="bullet"/>
      <w:lvlText w:val="-"/>
      <w:lvlJc w:val="left"/>
      <w:pPr>
        <w:ind w:left="720" w:hanging="360"/>
      </w:pPr>
      <w:rPr>
        <w:rFonts w:ascii="Verdana" w:eastAsia="Times New Roman" w:hAnsi="Verdana"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482465F"/>
    <w:multiLevelType w:val="hybridMultilevel"/>
    <w:tmpl w:val="DA9C42DC"/>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340A24CA"/>
    <w:multiLevelType w:val="hybridMultilevel"/>
    <w:tmpl w:val="11D469DE"/>
    <w:lvl w:ilvl="0" w:tplc="29A8833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5792152"/>
    <w:multiLevelType w:val="hybridMultilevel"/>
    <w:tmpl w:val="F51CC968"/>
    <w:lvl w:ilvl="0" w:tplc="0216613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5DC0192"/>
    <w:multiLevelType w:val="hybridMultilevel"/>
    <w:tmpl w:val="FA0C5716"/>
    <w:lvl w:ilvl="0" w:tplc="BEF42D9A">
      <w:numFmt w:val="bullet"/>
      <w:lvlText w:val="•"/>
      <w:lvlJc w:val="left"/>
      <w:pPr>
        <w:ind w:left="936" w:hanging="720"/>
      </w:pPr>
      <w:rPr>
        <w:rFonts w:ascii="Verdana" w:eastAsia="Times New Roman" w:hAnsi="Verdana" w:cs="Times New Roman" w:hint="default"/>
      </w:rPr>
    </w:lvl>
    <w:lvl w:ilvl="1" w:tplc="04080003" w:tentative="1">
      <w:start w:val="1"/>
      <w:numFmt w:val="bullet"/>
      <w:lvlText w:val="o"/>
      <w:lvlJc w:val="left"/>
      <w:pPr>
        <w:ind w:left="1296" w:hanging="360"/>
      </w:pPr>
      <w:rPr>
        <w:rFonts w:ascii="Courier New" w:hAnsi="Courier New" w:cs="Courier New" w:hint="default"/>
      </w:rPr>
    </w:lvl>
    <w:lvl w:ilvl="2" w:tplc="04080005" w:tentative="1">
      <w:start w:val="1"/>
      <w:numFmt w:val="bullet"/>
      <w:lvlText w:val=""/>
      <w:lvlJc w:val="left"/>
      <w:pPr>
        <w:ind w:left="2016" w:hanging="360"/>
      </w:pPr>
      <w:rPr>
        <w:rFonts w:ascii="Wingdings" w:hAnsi="Wingdings" w:hint="default"/>
      </w:rPr>
    </w:lvl>
    <w:lvl w:ilvl="3" w:tplc="04080001" w:tentative="1">
      <w:start w:val="1"/>
      <w:numFmt w:val="bullet"/>
      <w:lvlText w:val=""/>
      <w:lvlJc w:val="left"/>
      <w:pPr>
        <w:ind w:left="2736" w:hanging="360"/>
      </w:pPr>
      <w:rPr>
        <w:rFonts w:ascii="Symbol" w:hAnsi="Symbol" w:hint="default"/>
      </w:rPr>
    </w:lvl>
    <w:lvl w:ilvl="4" w:tplc="04080003" w:tentative="1">
      <w:start w:val="1"/>
      <w:numFmt w:val="bullet"/>
      <w:lvlText w:val="o"/>
      <w:lvlJc w:val="left"/>
      <w:pPr>
        <w:ind w:left="3456" w:hanging="360"/>
      </w:pPr>
      <w:rPr>
        <w:rFonts w:ascii="Courier New" w:hAnsi="Courier New" w:cs="Courier New" w:hint="default"/>
      </w:rPr>
    </w:lvl>
    <w:lvl w:ilvl="5" w:tplc="04080005" w:tentative="1">
      <w:start w:val="1"/>
      <w:numFmt w:val="bullet"/>
      <w:lvlText w:val=""/>
      <w:lvlJc w:val="left"/>
      <w:pPr>
        <w:ind w:left="4176" w:hanging="360"/>
      </w:pPr>
      <w:rPr>
        <w:rFonts w:ascii="Wingdings" w:hAnsi="Wingdings" w:hint="default"/>
      </w:rPr>
    </w:lvl>
    <w:lvl w:ilvl="6" w:tplc="04080001" w:tentative="1">
      <w:start w:val="1"/>
      <w:numFmt w:val="bullet"/>
      <w:lvlText w:val=""/>
      <w:lvlJc w:val="left"/>
      <w:pPr>
        <w:ind w:left="4896" w:hanging="360"/>
      </w:pPr>
      <w:rPr>
        <w:rFonts w:ascii="Symbol" w:hAnsi="Symbol" w:hint="default"/>
      </w:rPr>
    </w:lvl>
    <w:lvl w:ilvl="7" w:tplc="04080003" w:tentative="1">
      <w:start w:val="1"/>
      <w:numFmt w:val="bullet"/>
      <w:lvlText w:val="o"/>
      <w:lvlJc w:val="left"/>
      <w:pPr>
        <w:ind w:left="5616" w:hanging="360"/>
      </w:pPr>
      <w:rPr>
        <w:rFonts w:ascii="Courier New" w:hAnsi="Courier New" w:cs="Courier New" w:hint="default"/>
      </w:rPr>
    </w:lvl>
    <w:lvl w:ilvl="8" w:tplc="04080005" w:tentative="1">
      <w:start w:val="1"/>
      <w:numFmt w:val="bullet"/>
      <w:lvlText w:val=""/>
      <w:lvlJc w:val="left"/>
      <w:pPr>
        <w:ind w:left="6336" w:hanging="360"/>
      </w:pPr>
      <w:rPr>
        <w:rFonts w:ascii="Wingdings" w:hAnsi="Wingdings" w:hint="default"/>
      </w:rPr>
    </w:lvl>
  </w:abstractNum>
  <w:abstractNum w:abstractNumId="18">
    <w:nsid w:val="36F87E05"/>
    <w:multiLevelType w:val="hybridMultilevel"/>
    <w:tmpl w:val="D7E060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A783DC7"/>
    <w:multiLevelType w:val="hybridMultilevel"/>
    <w:tmpl w:val="9D625D66"/>
    <w:lvl w:ilvl="0" w:tplc="0216613A">
      <w:numFmt w:val="bullet"/>
      <w:lvlText w:val="•"/>
      <w:lvlJc w:val="left"/>
      <w:pPr>
        <w:ind w:left="349" w:hanging="720"/>
      </w:pPr>
      <w:rPr>
        <w:rFonts w:ascii="Verdana" w:eastAsia="Times New Roman" w:hAnsi="Verdana" w:cs="Times New Roman" w:hint="default"/>
      </w:rPr>
    </w:lvl>
    <w:lvl w:ilvl="1" w:tplc="04080003" w:tentative="1">
      <w:start w:val="1"/>
      <w:numFmt w:val="bullet"/>
      <w:lvlText w:val="o"/>
      <w:lvlJc w:val="left"/>
      <w:pPr>
        <w:ind w:left="709" w:hanging="360"/>
      </w:pPr>
      <w:rPr>
        <w:rFonts w:ascii="Courier New" w:hAnsi="Courier New" w:cs="Courier New" w:hint="default"/>
      </w:rPr>
    </w:lvl>
    <w:lvl w:ilvl="2" w:tplc="04080005" w:tentative="1">
      <w:start w:val="1"/>
      <w:numFmt w:val="bullet"/>
      <w:lvlText w:val=""/>
      <w:lvlJc w:val="left"/>
      <w:pPr>
        <w:ind w:left="1429" w:hanging="360"/>
      </w:pPr>
      <w:rPr>
        <w:rFonts w:ascii="Wingdings" w:hAnsi="Wingdings" w:hint="default"/>
      </w:rPr>
    </w:lvl>
    <w:lvl w:ilvl="3" w:tplc="04080001" w:tentative="1">
      <w:start w:val="1"/>
      <w:numFmt w:val="bullet"/>
      <w:lvlText w:val=""/>
      <w:lvlJc w:val="left"/>
      <w:pPr>
        <w:ind w:left="2149" w:hanging="360"/>
      </w:pPr>
      <w:rPr>
        <w:rFonts w:ascii="Symbol" w:hAnsi="Symbol" w:hint="default"/>
      </w:rPr>
    </w:lvl>
    <w:lvl w:ilvl="4" w:tplc="04080003" w:tentative="1">
      <w:start w:val="1"/>
      <w:numFmt w:val="bullet"/>
      <w:lvlText w:val="o"/>
      <w:lvlJc w:val="left"/>
      <w:pPr>
        <w:ind w:left="2869" w:hanging="360"/>
      </w:pPr>
      <w:rPr>
        <w:rFonts w:ascii="Courier New" w:hAnsi="Courier New" w:cs="Courier New" w:hint="default"/>
      </w:rPr>
    </w:lvl>
    <w:lvl w:ilvl="5" w:tplc="04080005" w:tentative="1">
      <w:start w:val="1"/>
      <w:numFmt w:val="bullet"/>
      <w:lvlText w:val=""/>
      <w:lvlJc w:val="left"/>
      <w:pPr>
        <w:ind w:left="3589" w:hanging="360"/>
      </w:pPr>
      <w:rPr>
        <w:rFonts w:ascii="Wingdings" w:hAnsi="Wingdings" w:hint="default"/>
      </w:rPr>
    </w:lvl>
    <w:lvl w:ilvl="6" w:tplc="04080001" w:tentative="1">
      <w:start w:val="1"/>
      <w:numFmt w:val="bullet"/>
      <w:lvlText w:val=""/>
      <w:lvlJc w:val="left"/>
      <w:pPr>
        <w:ind w:left="4309" w:hanging="360"/>
      </w:pPr>
      <w:rPr>
        <w:rFonts w:ascii="Symbol" w:hAnsi="Symbol" w:hint="default"/>
      </w:rPr>
    </w:lvl>
    <w:lvl w:ilvl="7" w:tplc="04080003" w:tentative="1">
      <w:start w:val="1"/>
      <w:numFmt w:val="bullet"/>
      <w:lvlText w:val="o"/>
      <w:lvlJc w:val="left"/>
      <w:pPr>
        <w:ind w:left="5029" w:hanging="360"/>
      </w:pPr>
      <w:rPr>
        <w:rFonts w:ascii="Courier New" w:hAnsi="Courier New" w:cs="Courier New" w:hint="default"/>
      </w:rPr>
    </w:lvl>
    <w:lvl w:ilvl="8" w:tplc="04080005" w:tentative="1">
      <w:start w:val="1"/>
      <w:numFmt w:val="bullet"/>
      <w:lvlText w:val=""/>
      <w:lvlJc w:val="left"/>
      <w:pPr>
        <w:ind w:left="5749" w:hanging="360"/>
      </w:pPr>
      <w:rPr>
        <w:rFonts w:ascii="Wingdings" w:hAnsi="Wingdings" w:hint="default"/>
      </w:rPr>
    </w:lvl>
  </w:abstractNum>
  <w:abstractNum w:abstractNumId="20">
    <w:nsid w:val="3AF16810"/>
    <w:multiLevelType w:val="hybridMultilevel"/>
    <w:tmpl w:val="0B981C22"/>
    <w:lvl w:ilvl="0" w:tplc="04080001">
      <w:start w:val="1"/>
      <w:numFmt w:val="bullet"/>
      <w:lvlText w:val=""/>
      <w:lvlJc w:val="left"/>
      <w:pPr>
        <w:tabs>
          <w:tab w:val="num" w:pos="436"/>
        </w:tabs>
        <w:ind w:left="436" w:hanging="360"/>
      </w:pPr>
      <w:rPr>
        <w:rFonts w:ascii="Symbol" w:hAnsi="Symbol" w:hint="default"/>
      </w:rPr>
    </w:lvl>
    <w:lvl w:ilvl="1" w:tplc="04080003" w:tentative="1">
      <w:start w:val="1"/>
      <w:numFmt w:val="bullet"/>
      <w:lvlText w:val="o"/>
      <w:lvlJc w:val="left"/>
      <w:pPr>
        <w:tabs>
          <w:tab w:val="num" w:pos="1156"/>
        </w:tabs>
        <w:ind w:left="1156" w:hanging="360"/>
      </w:pPr>
      <w:rPr>
        <w:rFonts w:ascii="Courier New" w:hAnsi="Courier New" w:cs="Courier New" w:hint="default"/>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abstractNum w:abstractNumId="21">
    <w:nsid w:val="3C6E07B3"/>
    <w:multiLevelType w:val="hybridMultilevel"/>
    <w:tmpl w:val="26EEDEB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41CA17D0"/>
    <w:multiLevelType w:val="hybridMultilevel"/>
    <w:tmpl w:val="3286D054"/>
    <w:lvl w:ilvl="0" w:tplc="CFAC9310">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3A54515"/>
    <w:multiLevelType w:val="hybridMultilevel"/>
    <w:tmpl w:val="E1644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DA61F33"/>
    <w:multiLevelType w:val="hybridMultilevel"/>
    <w:tmpl w:val="7D1E8DB6"/>
    <w:lvl w:ilvl="0" w:tplc="0216613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3220E21"/>
    <w:multiLevelType w:val="hybridMultilevel"/>
    <w:tmpl w:val="5C802ED8"/>
    <w:lvl w:ilvl="0" w:tplc="A108453E">
      <w:numFmt w:val="bullet"/>
      <w:lvlText w:val="-"/>
      <w:lvlJc w:val="left"/>
      <w:pPr>
        <w:ind w:left="810" w:hanging="45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5A865DB"/>
    <w:multiLevelType w:val="hybridMultilevel"/>
    <w:tmpl w:val="889C3EF6"/>
    <w:lvl w:ilvl="0" w:tplc="AB16DB72">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5B7D0F13"/>
    <w:multiLevelType w:val="hybridMultilevel"/>
    <w:tmpl w:val="469AFFD8"/>
    <w:lvl w:ilvl="0" w:tplc="3A7E45D4">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EA53970"/>
    <w:multiLevelType w:val="hybridMultilevel"/>
    <w:tmpl w:val="7A0A5218"/>
    <w:lvl w:ilvl="0" w:tplc="3F96EEAA">
      <w:start w:val="1"/>
      <w:numFmt w:val="bullet"/>
      <w:lvlText w:val=""/>
      <w:lvlJc w:val="left"/>
      <w:pPr>
        <w:tabs>
          <w:tab w:val="num" w:pos="1820"/>
        </w:tabs>
        <w:ind w:left="1820" w:hanging="1460"/>
      </w:pPr>
      <w:rPr>
        <w:rFonts w:ascii="Symbol" w:hAnsi="Symbol" w:hint="default"/>
        <w:color w:val="auto"/>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626C26FA"/>
    <w:multiLevelType w:val="hybridMultilevel"/>
    <w:tmpl w:val="0CCAE7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3A92336"/>
    <w:multiLevelType w:val="hybridMultilevel"/>
    <w:tmpl w:val="17321A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8B667DE"/>
    <w:multiLevelType w:val="hybridMultilevel"/>
    <w:tmpl w:val="012E80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8F96F91"/>
    <w:multiLevelType w:val="hybridMultilevel"/>
    <w:tmpl w:val="9500C3AC"/>
    <w:lvl w:ilvl="0" w:tplc="3A7E45D4">
      <w:numFmt w:val="bullet"/>
      <w:lvlText w:val="•"/>
      <w:lvlJc w:val="left"/>
      <w:pPr>
        <w:ind w:left="720" w:hanging="360"/>
      </w:pPr>
      <w:rPr>
        <w:rFonts w:ascii="Verdana" w:eastAsia="Times New Roman" w:hAnsi="Verdana"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A1461BD"/>
    <w:multiLevelType w:val="hybridMultilevel"/>
    <w:tmpl w:val="93627936"/>
    <w:lvl w:ilvl="0" w:tplc="04080001">
      <w:start w:val="1"/>
      <w:numFmt w:val="bullet"/>
      <w:lvlText w:val=""/>
      <w:lvlJc w:val="left"/>
      <w:pPr>
        <w:ind w:left="810" w:hanging="45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C565DE4"/>
    <w:multiLevelType w:val="hybridMultilevel"/>
    <w:tmpl w:val="C9763116"/>
    <w:lvl w:ilvl="0" w:tplc="766A3E7A">
      <w:numFmt w:val="bullet"/>
      <w:lvlText w:val="-"/>
      <w:lvlJc w:val="left"/>
      <w:pPr>
        <w:tabs>
          <w:tab w:val="num" w:pos="720"/>
        </w:tabs>
        <w:ind w:left="720" w:hanging="360"/>
      </w:pPr>
      <w:rPr>
        <w:rFonts w:ascii="Verdana" w:eastAsia="Times New Roman" w:hAnsi="Verdan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6E661090"/>
    <w:multiLevelType w:val="hybridMultilevel"/>
    <w:tmpl w:val="26A6243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36">
    <w:nsid w:val="72F9104F"/>
    <w:multiLevelType w:val="hybridMultilevel"/>
    <w:tmpl w:val="C0CE4B5A"/>
    <w:lvl w:ilvl="0" w:tplc="A108453E">
      <w:numFmt w:val="bullet"/>
      <w:lvlText w:val="-"/>
      <w:lvlJc w:val="left"/>
      <w:pPr>
        <w:ind w:left="810" w:hanging="45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89652F0"/>
    <w:multiLevelType w:val="hybridMultilevel"/>
    <w:tmpl w:val="2ED407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9D64E98"/>
    <w:multiLevelType w:val="hybridMultilevel"/>
    <w:tmpl w:val="6FC44F14"/>
    <w:lvl w:ilvl="0" w:tplc="5EF08AA6">
      <w:start w:val="21"/>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F774FD0"/>
    <w:multiLevelType w:val="hybridMultilevel"/>
    <w:tmpl w:val="31B0AABC"/>
    <w:lvl w:ilvl="0" w:tplc="A108453E">
      <w:numFmt w:val="bullet"/>
      <w:lvlText w:val="-"/>
      <w:lvlJc w:val="left"/>
      <w:pPr>
        <w:ind w:left="450" w:hanging="450"/>
      </w:pPr>
      <w:rPr>
        <w:rFonts w:ascii="Verdana" w:eastAsia="Times New Roman" w:hAnsi="Verdan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9"/>
  </w:num>
  <w:num w:numId="2">
    <w:abstractNumId w:val="14"/>
  </w:num>
  <w:num w:numId="3">
    <w:abstractNumId w:val="0"/>
  </w:num>
  <w:num w:numId="4">
    <w:abstractNumId w:val="7"/>
  </w:num>
  <w:num w:numId="5">
    <w:abstractNumId w:val="5"/>
  </w:num>
  <w:num w:numId="6">
    <w:abstractNumId w:val="28"/>
  </w:num>
  <w:num w:numId="7">
    <w:abstractNumId w:val="12"/>
  </w:num>
  <w:num w:numId="8">
    <w:abstractNumId w:val="20"/>
  </w:num>
  <w:num w:numId="9">
    <w:abstractNumId w:val="34"/>
  </w:num>
  <w:num w:numId="10">
    <w:abstractNumId w:val="15"/>
  </w:num>
  <w:num w:numId="11">
    <w:abstractNumId w:val="1"/>
  </w:num>
  <w:num w:numId="12">
    <w:abstractNumId w:val="21"/>
  </w:num>
  <w:num w:numId="13">
    <w:abstractNumId w:val="26"/>
  </w:num>
  <w:num w:numId="14">
    <w:abstractNumId w:val="31"/>
  </w:num>
  <w:num w:numId="15">
    <w:abstractNumId w:val="10"/>
  </w:num>
  <w:num w:numId="16">
    <w:abstractNumId w:val="17"/>
  </w:num>
  <w:num w:numId="17">
    <w:abstractNumId w:val="11"/>
  </w:num>
  <w:num w:numId="18">
    <w:abstractNumId w:val="22"/>
  </w:num>
  <w:num w:numId="19">
    <w:abstractNumId w:val="29"/>
  </w:num>
  <w:num w:numId="20">
    <w:abstractNumId w:val="13"/>
  </w:num>
  <w:num w:numId="21">
    <w:abstractNumId w:val="18"/>
  </w:num>
  <w:num w:numId="22">
    <w:abstractNumId w:val="23"/>
  </w:num>
  <w:num w:numId="23">
    <w:abstractNumId w:val="36"/>
  </w:num>
  <w:num w:numId="24">
    <w:abstractNumId w:val="39"/>
  </w:num>
  <w:num w:numId="25">
    <w:abstractNumId w:val="25"/>
  </w:num>
  <w:num w:numId="26">
    <w:abstractNumId w:val="33"/>
  </w:num>
  <w:num w:numId="27">
    <w:abstractNumId w:val="37"/>
  </w:num>
  <w:num w:numId="28">
    <w:abstractNumId w:val="27"/>
  </w:num>
  <w:num w:numId="29">
    <w:abstractNumId w:val="32"/>
  </w:num>
  <w:num w:numId="30">
    <w:abstractNumId w:val="8"/>
  </w:num>
  <w:num w:numId="31">
    <w:abstractNumId w:val="24"/>
  </w:num>
  <w:num w:numId="32">
    <w:abstractNumId w:val="16"/>
  </w:num>
  <w:num w:numId="33">
    <w:abstractNumId w:val="2"/>
  </w:num>
  <w:num w:numId="34">
    <w:abstractNumId w:val="19"/>
  </w:num>
  <w:num w:numId="35">
    <w:abstractNumId w:val="38"/>
  </w:num>
  <w:num w:numId="36">
    <w:abstractNumId w:val="6"/>
  </w:num>
  <w:num w:numId="37">
    <w:abstractNumId w:val="3"/>
  </w:num>
  <w:num w:numId="38">
    <w:abstractNumId w:val="4"/>
  </w:num>
  <w:num w:numId="39">
    <w:abstractNumId w:val="30"/>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52"/>
    <w:rsid w:val="00000087"/>
    <w:rsid w:val="0000048D"/>
    <w:rsid w:val="00002242"/>
    <w:rsid w:val="00002455"/>
    <w:rsid w:val="00002542"/>
    <w:rsid w:val="00003296"/>
    <w:rsid w:val="00003FF0"/>
    <w:rsid w:val="0000705D"/>
    <w:rsid w:val="00012928"/>
    <w:rsid w:val="0001385B"/>
    <w:rsid w:val="000152DD"/>
    <w:rsid w:val="000166AD"/>
    <w:rsid w:val="0001710A"/>
    <w:rsid w:val="00020C77"/>
    <w:rsid w:val="00024C5E"/>
    <w:rsid w:val="000255BC"/>
    <w:rsid w:val="0002734F"/>
    <w:rsid w:val="000275F9"/>
    <w:rsid w:val="00031A8A"/>
    <w:rsid w:val="00034914"/>
    <w:rsid w:val="000402EA"/>
    <w:rsid w:val="00041550"/>
    <w:rsid w:val="00041F36"/>
    <w:rsid w:val="000420C9"/>
    <w:rsid w:val="00043FA0"/>
    <w:rsid w:val="000454CD"/>
    <w:rsid w:val="00046C31"/>
    <w:rsid w:val="00047621"/>
    <w:rsid w:val="000477BD"/>
    <w:rsid w:val="00047968"/>
    <w:rsid w:val="0005001C"/>
    <w:rsid w:val="000503F8"/>
    <w:rsid w:val="00051A78"/>
    <w:rsid w:val="00051E68"/>
    <w:rsid w:val="00051E69"/>
    <w:rsid w:val="00052AF0"/>
    <w:rsid w:val="00055AC2"/>
    <w:rsid w:val="000561FF"/>
    <w:rsid w:val="00060DDE"/>
    <w:rsid w:val="000610F8"/>
    <w:rsid w:val="00066324"/>
    <w:rsid w:val="0006762D"/>
    <w:rsid w:val="00067BB2"/>
    <w:rsid w:val="0007062A"/>
    <w:rsid w:val="00071345"/>
    <w:rsid w:val="000728AD"/>
    <w:rsid w:val="00075688"/>
    <w:rsid w:val="000760C7"/>
    <w:rsid w:val="0007665B"/>
    <w:rsid w:val="000768E3"/>
    <w:rsid w:val="00077B41"/>
    <w:rsid w:val="00077C41"/>
    <w:rsid w:val="0008151F"/>
    <w:rsid w:val="00083B46"/>
    <w:rsid w:val="00084E4B"/>
    <w:rsid w:val="0008557F"/>
    <w:rsid w:val="00085F61"/>
    <w:rsid w:val="00094295"/>
    <w:rsid w:val="00094B23"/>
    <w:rsid w:val="00096E97"/>
    <w:rsid w:val="000974FA"/>
    <w:rsid w:val="000B1064"/>
    <w:rsid w:val="000B1740"/>
    <w:rsid w:val="000B1A56"/>
    <w:rsid w:val="000B32D7"/>
    <w:rsid w:val="000B614D"/>
    <w:rsid w:val="000C3354"/>
    <w:rsid w:val="000C730D"/>
    <w:rsid w:val="000C7338"/>
    <w:rsid w:val="000C79A6"/>
    <w:rsid w:val="000D08AE"/>
    <w:rsid w:val="000D0D14"/>
    <w:rsid w:val="000D29C5"/>
    <w:rsid w:val="000E062F"/>
    <w:rsid w:val="000E1809"/>
    <w:rsid w:val="000E4639"/>
    <w:rsid w:val="000E7A07"/>
    <w:rsid w:val="000F0094"/>
    <w:rsid w:val="000F5A18"/>
    <w:rsid w:val="00101197"/>
    <w:rsid w:val="00102DF8"/>
    <w:rsid w:val="001045A8"/>
    <w:rsid w:val="001048C3"/>
    <w:rsid w:val="001065D6"/>
    <w:rsid w:val="00107094"/>
    <w:rsid w:val="00107869"/>
    <w:rsid w:val="00107CBA"/>
    <w:rsid w:val="00111165"/>
    <w:rsid w:val="00112539"/>
    <w:rsid w:val="0011624F"/>
    <w:rsid w:val="00116B66"/>
    <w:rsid w:val="00116E7A"/>
    <w:rsid w:val="001174DE"/>
    <w:rsid w:val="0012089C"/>
    <w:rsid w:val="00120F99"/>
    <w:rsid w:val="00121291"/>
    <w:rsid w:val="00125BC2"/>
    <w:rsid w:val="00127FD0"/>
    <w:rsid w:val="001306C9"/>
    <w:rsid w:val="00131BFA"/>
    <w:rsid w:val="001345C2"/>
    <w:rsid w:val="00140044"/>
    <w:rsid w:val="00140197"/>
    <w:rsid w:val="00141E14"/>
    <w:rsid w:val="00144D9B"/>
    <w:rsid w:val="001454F4"/>
    <w:rsid w:val="001478E2"/>
    <w:rsid w:val="00147A16"/>
    <w:rsid w:val="001502EC"/>
    <w:rsid w:val="00151228"/>
    <w:rsid w:val="00151A58"/>
    <w:rsid w:val="00154E74"/>
    <w:rsid w:val="001565B5"/>
    <w:rsid w:val="00157DCF"/>
    <w:rsid w:val="001600EF"/>
    <w:rsid w:val="00162977"/>
    <w:rsid w:val="001630F6"/>
    <w:rsid w:val="001633BD"/>
    <w:rsid w:val="00163E4E"/>
    <w:rsid w:val="00164C28"/>
    <w:rsid w:val="00171373"/>
    <w:rsid w:val="001724B7"/>
    <w:rsid w:val="0017310E"/>
    <w:rsid w:val="00173B17"/>
    <w:rsid w:val="00174D81"/>
    <w:rsid w:val="00174F5C"/>
    <w:rsid w:val="00175088"/>
    <w:rsid w:val="00176D52"/>
    <w:rsid w:val="00177360"/>
    <w:rsid w:val="0017736B"/>
    <w:rsid w:val="00177F34"/>
    <w:rsid w:val="001801F1"/>
    <w:rsid w:val="00182A7D"/>
    <w:rsid w:val="001838EE"/>
    <w:rsid w:val="00184AD9"/>
    <w:rsid w:val="00185521"/>
    <w:rsid w:val="00187101"/>
    <w:rsid w:val="0019027D"/>
    <w:rsid w:val="00190DBA"/>
    <w:rsid w:val="0019343F"/>
    <w:rsid w:val="00193925"/>
    <w:rsid w:val="001A0009"/>
    <w:rsid w:val="001A2031"/>
    <w:rsid w:val="001A3158"/>
    <w:rsid w:val="001A4C28"/>
    <w:rsid w:val="001A5008"/>
    <w:rsid w:val="001A5B95"/>
    <w:rsid w:val="001A5E12"/>
    <w:rsid w:val="001A7321"/>
    <w:rsid w:val="001B01B3"/>
    <w:rsid w:val="001B3CDB"/>
    <w:rsid w:val="001B44EC"/>
    <w:rsid w:val="001B6B68"/>
    <w:rsid w:val="001B6DEA"/>
    <w:rsid w:val="001C0C58"/>
    <w:rsid w:val="001C17CA"/>
    <w:rsid w:val="001C26DE"/>
    <w:rsid w:val="001C4A1F"/>
    <w:rsid w:val="001C5A8B"/>
    <w:rsid w:val="001C666F"/>
    <w:rsid w:val="001C7198"/>
    <w:rsid w:val="001D157F"/>
    <w:rsid w:val="001D6EB7"/>
    <w:rsid w:val="001D7FCF"/>
    <w:rsid w:val="001E2147"/>
    <w:rsid w:val="001E5782"/>
    <w:rsid w:val="001E631E"/>
    <w:rsid w:val="001F0633"/>
    <w:rsid w:val="001F087A"/>
    <w:rsid w:val="001F103A"/>
    <w:rsid w:val="001F1B24"/>
    <w:rsid w:val="001F253F"/>
    <w:rsid w:val="001F2FE6"/>
    <w:rsid w:val="001F302F"/>
    <w:rsid w:val="001F3051"/>
    <w:rsid w:val="001F35E5"/>
    <w:rsid w:val="001F6C78"/>
    <w:rsid w:val="00201CB6"/>
    <w:rsid w:val="00202176"/>
    <w:rsid w:val="002027AE"/>
    <w:rsid w:val="00202D32"/>
    <w:rsid w:val="00203D90"/>
    <w:rsid w:val="00204A9B"/>
    <w:rsid w:val="00207C49"/>
    <w:rsid w:val="00212209"/>
    <w:rsid w:val="00212A73"/>
    <w:rsid w:val="00212F5B"/>
    <w:rsid w:val="0021507D"/>
    <w:rsid w:val="002152A2"/>
    <w:rsid w:val="0021597F"/>
    <w:rsid w:val="00216174"/>
    <w:rsid w:val="002167CD"/>
    <w:rsid w:val="002213BB"/>
    <w:rsid w:val="002227C1"/>
    <w:rsid w:val="0022323C"/>
    <w:rsid w:val="0022344B"/>
    <w:rsid w:val="00224A4A"/>
    <w:rsid w:val="00224A55"/>
    <w:rsid w:val="00226FE2"/>
    <w:rsid w:val="0023337A"/>
    <w:rsid w:val="00233BAA"/>
    <w:rsid w:val="00235351"/>
    <w:rsid w:val="0023609C"/>
    <w:rsid w:val="002374C7"/>
    <w:rsid w:val="0023771B"/>
    <w:rsid w:val="00240449"/>
    <w:rsid w:val="002414E9"/>
    <w:rsid w:val="0024183B"/>
    <w:rsid w:val="00241DB4"/>
    <w:rsid w:val="002446EC"/>
    <w:rsid w:val="00246E3B"/>
    <w:rsid w:val="0024787A"/>
    <w:rsid w:val="00247A6D"/>
    <w:rsid w:val="00247FAD"/>
    <w:rsid w:val="0025135F"/>
    <w:rsid w:val="00251842"/>
    <w:rsid w:val="00252307"/>
    <w:rsid w:val="002562CB"/>
    <w:rsid w:val="00263DE5"/>
    <w:rsid w:val="00266C40"/>
    <w:rsid w:val="002740C3"/>
    <w:rsid w:val="00275C75"/>
    <w:rsid w:val="00281746"/>
    <w:rsid w:val="00286335"/>
    <w:rsid w:val="0029494A"/>
    <w:rsid w:val="00296316"/>
    <w:rsid w:val="002968EC"/>
    <w:rsid w:val="0029693C"/>
    <w:rsid w:val="002A1EB5"/>
    <w:rsid w:val="002A39C9"/>
    <w:rsid w:val="002A3F30"/>
    <w:rsid w:val="002A48F4"/>
    <w:rsid w:val="002A63EB"/>
    <w:rsid w:val="002B098D"/>
    <w:rsid w:val="002B2192"/>
    <w:rsid w:val="002B50AA"/>
    <w:rsid w:val="002C1C15"/>
    <w:rsid w:val="002C33CD"/>
    <w:rsid w:val="002C6468"/>
    <w:rsid w:val="002C6B3F"/>
    <w:rsid w:val="002C79CF"/>
    <w:rsid w:val="002C7B03"/>
    <w:rsid w:val="002D2D2A"/>
    <w:rsid w:val="002D56B1"/>
    <w:rsid w:val="002E28F3"/>
    <w:rsid w:val="002E79E9"/>
    <w:rsid w:val="002E7AB1"/>
    <w:rsid w:val="002E7BB0"/>
    <w:rsid w:val="002F1731"/>
    <w:rsid w:val="002F362B"/>
    <w:rsid w:val="002F378C"/>
    <w:rsid w:val="002F3D70"/>
    <w:rsid w:val="002F4017"/>
    <w:rsid w:val="002F5E78"/>
    <w:rsid w:val="002F63CA"/>
    <w:rsid w:val="002F6885"/>
    <w:rsid w:val="00300C02"/>
    <w:rsid w:val="00301C1F"/>
    <w:rsid w:val="0030276E"/>
    <w:rsid w:val="0030360E"/>
    <w:rsid w:val="0030479F"/>
    <w:rsid w:val="00304955"/>
    <w:rsid w:val="0030604A"/>
    <w:rsid w:val="00306B34"/>
    <w:rsid w:val="00306F32"/>
    <w:rsid w:val="00307859"/>
    <w:rsid w:val="003078AC"/>
    <w:rsid w:val="00310B05"/>
    <w:rsid w:val="0031143D"/>
    <w:rsid w:val="00312867"/>
    <w:rsid w:val="00317256"/>
    <w:rsid w:val="00321F4C"/>
    <w:rsid w:val="00325DD0"/>
    <w:rsid w:val="00326477"/>
    <w:rsid w:val="00333FD1"/>
    <w:rsid w:val="003340FB"/>
    <w:rsid w:val="0033423D"/>
    <w:rsid w:val="00335253"/>
    <w:rsid w:val="003411CE"/>
    <w:rsid w:val="003469EB"/>
    <w:rsid w:val="0034781D"/>
    <w:rsid w:val="00347C0D"/>
    <w:rsid w:val="003522B7"/>
    <w:rsid w:val="00352F3B"/>
    <w:rsid w:val="00353BB2"/>
    <w:rsid w:val="00356C27"/>
    <w:rsid w:val="00357B56"/>
    <w:rsid w:val="0036106A"/>
    <w:rsid w:val="00362D14"/>
    <w:rsid w:val="003670DE"/>
    <w:rsid w:val="003673D0"/>
    <w:rsid w:val="00367C30"/>
    <w:rsid w:val="00370923"/>
    <w:rsid w:val="00372B8C"/>
    <w:rsid w:val="003733FD"/>
    <w:rsid w:val="003736BA"/>
    <w:rsid w:val="00380046"/>
    <w:rsid w:val="00380053"/>
    <w:rsid w:val="0038203A"/>
    <w:rsid w:val="00384B07"/>
    <w:rsid w:val="00386781"/>
    <w:rsid w:val="00387BAF"/>
    <w:rsid w:val="00392C55"/>
    <w:rsid w:val="00396D69"/>
    <w:rsid w:val="003A082D"/>
    <w:rsid w:val="003A14DD"/>
    <w:rsid w:val="003A2F08"/>
    <w:rsid w:val="003A472B"/>
    <w:rsid w:val="003A5BDA"/>
    <w:rsid w:val="003A6543"/>
    <w:rsid w:val="003B0728"/>
    <w:rsid w:val="003B07E0"/>
    <w:rsid w:val="003B0A97"/>
    <w:rsid w:val="003B1C1A"/>
    <w:rsid w:val="003B1D67"/>
    <w:rsid w:val="003B2792"/>
    <w:rsid w:val="003B3E94"/>
    <w:rsid w:val="003B59F2"/>
    <w:rsid w:val="003B5CEB"/>
    <w:rsid w:val="003B7971"/>
    <w:rsid w:val="003B7E04"/>
    <w:rsid w:val="003C6291"/>
    <w:rsid w:val="003D0EC7"/>
    <w:rsid w:val="003D549D"/>
    <w:rsid w:val="003E013C"/>
    <w:rsid w:val="003E0232"/>
    <w:rsid w:val="003E0870"/>
    <w:rsid w:val="003E0A63"/>
    <w:rsid w:val="003E1378"/>
    <w:rsid w:val="003E1630"/>
    <w:rsid w:val="003E34B7"/>
    <w:rsid w:val="003E3A26"/>
    <w:rsid w:val="003E5336"/>
    <w:rsid w:val="003E7D6C"/>
    <w:rsid w:val="003F3073"/>
    <w:rsid w:val="003F5D62"/>
    <w:rsid w:val="003F7DC6"/>
    <w:rsid w:val="00401750"/>
    <w:rsid w:val="004021D8"/>
    <w:rsid w:val="004065CE"/>
    <w:rsid w:val="00406C6C"/>
    <w:rsid w:val="004074BC"/>
    <w:rsid w:val="00411B4A"/>
    <w:rsid w:val="0041204A"/>
    <w:rsid w:val="004122B1"/>
    <w:rsid w:val="00416645"/>
    <w:rsid w:val="00420543"/>
    <w:rsid w:val="00423CCF"/>
    <w:rsid w:val="004255D5"/>
    <w:rsid w:val="00427A47"/>
    <w:rsid w:val="00430FEE"/>
    <w:rsid w:val="00431CF3"/>
    <w:rsid w:val="00437B5B"/>
    <w:rsid w:val="00443EE2"/>
    <w:rsid w:val="004441E9"/>
    <w:rsid w:val="00444DB5"/>
    <w:rsid w:val="004456A8"/>
    <w:rsid w:val="004457A7"/>
    <w:rsid w:val="00445A25"/>
    <w:rsid w:val="00446B7B"/>
    <w:rsid w:val="00446D66"/>
    <w:rsid w:val="004517D9"/>
    <w:rsid w:val="00451E02"/>
    <w:rsid w:val="00452CF5"/>
    <w:rsid w:val="00452F44"/>
    <w:rsid w:val="004556A4"/>
    <w:rsid w:val="0045575A"/>
    <w:rsid w:val="0045671A"/>
    <w:rsid w:val="00461C84"/>
    <w:rsid w:val="00464CE2"/>
    <w:rsid w:val="004671D5"/>
    <w:rsid w:val="004674AA"/>
    <w:rsid w:val="00467DC2"/>
    <w:rsid w:val="00470804"/>
    <w:rsid w:val="00472E0D"/>
    <w:rsid w:val="004747FC"/>
    <w:rsid w:val="004751B4"/>
    <w:rsid w:val="0047573F"/>
    <w:rsid w:val="0047596A"/>
    <w:rsid w:val="004769AE"/>
    <w:rsid w:val="00476D9F"/>
    <w:rsid w:val="00480014"/>
    <w:rsid w:val="004804AC"/>
    <w:rsid w:val="004816B7"/>
    <w:rsid w:val="00482544"/>
    <w:rsid w:val="0048290E"/>
    <w:rsid w:val="0048511C"/>
    <w:rsid w:val="004876B7"/>
    <w:rsid w:val="00490B85"/>
    <w:rsid w:val="0049150D"/>
    <w:rsid w:val="004917B1"/>
    <w:rsid w:val="00492A73"/>
    <w:rsid w:val="00492FD2"/>
    <w:rsid w:val="004950E2"/>
    <w:rsid w:val="004A0751"/>
    <w:rsid w:val="004A18F4"/>
    <w:rsid w:val="004A2969"/>
    <w:rsid w:val="004A3386"/>
    <w:rsid w:val="004A3542"/>
    <w:rsid w:val="004A56DB"/>
    <w:rsid w:val="004A71E6"/>
    <w:rsid w:val="004A7E08"/>
    <w:rsid w:val="004A7EDA"/>
    <w:rsid w:val="004B0A8F"/>
    <w:rsid w:val="004B12E4"/>
    <w:rsid w:val="004B1711"/>
    <w:rsid w:val="004B2674"/>
    <w:rsid w:val="004B2BB8"/>
    <w:rsid w:val="004B478D"/>
    <w:rsid w:val="004B6BA1"/>
    <w:rsid w:val="004B7CEA"/>
    <w:rsid w:val="004C0B39"/>
    <w:rsid w:val="004C1782"/>
    <w:rsid w:val="004D1E87"/>
    <w:rsid w:val="004D41B4"/>
    <w:rsid w:val="004D4336"/>
    <w:rsid w:val="004D6AAB"/>
    <w:rsid w:val="004D7908"/>
    <w:rsid w:val="004E02F7"/>
    <w:rsid w:val="004E22D9"/>
    <w:rsid w:val="004E2636"/>
    <w:rsid w:val="004E3A3F"/>
    <w:rsid w:val="004E4DC3"/>
    <w:rsid w:val="004E61F5"/>
    <w:rsid w:val="004E78A1"/>
    <w:rsid w:val="004F1E1E"/>
    <w:rsid w:val="004F3691"/>
    <w:rsid w:val="004F39BE"/>
    <w:rsid w:val="004F4A5C"/>
    <w:rsid w:val="004F5388"/>
    <w:rsid w:val="004F5A16"/>
    <w:rsid w:val="004F6EC3"/>
    <w:rsid w:val="004F75EC"/>
    <w:rsid w:val="0050302A"/>
    <w:rsid w:val="005032CA"/>
    <w:rsid w:val="00503AD4"/>
    <w:rsid w:val="00503B90"/>
    <w:rsid w:val="00504915"/>
    <w:rsid w:val="005051E4"/>
    <w:rsid w:val="00505440"/>
    <w:rsid w:val="00506AF1"/>
    <w:rsid w:val="00507494"/>
    <w:rsid w:val="00511092"/>
    <w:rsid w:val="00512497"/>
    <w:rsid w:val="0051425A"/>
    <w:rsid w:val="00515DF8"/>
    <w:rsid w:val="00516A1A"/>
    <w:rsid w:val="0052014E"/>
    <w:rsid w:val="00520D14"/>
    <w:rsid w:val="00522446"/>
    <w:rsid w:val="005244DF"/>
    <w:rsid w:val="00525D1C"/>
    <w:rsid w:val="00525F63"/>
    <w:rsid w:val="00526A0D"/>
    <w:rsid w:val="00532709"/>
    <w:rsid w:val="005411FD"/>
    <w:rsid w:val="0054249F"/>
    <w:rsid w:val="00542FFB"/>
    <w:rsid w:val="00546701"/>
    <w:rsid w:val="00546F5A"/>
    <w:rsid w:val="00547466"/>
    <w:rsid w:val="00547B0D"/>
    <w:rsid w:val="00547C24"/>
    <w:rsid w:val="00547FDF"/>
    <w:rsid w:val="00551962"/>
    <w:rsid w:val="00555DF7"/>
    <w:rsid w:val="00555F9D"/>
    <w:rsid w:val="005567E0"/>
    <w:rsid w:val="00557D9D"/>
    <w:rsid w:val="0056062B"/>
    <w:rsid w:val="005644DA"/>
    <w:rsid w:val="00564C48"/>
    <w:rsid w:val="0056631E"/>
    <w:rsid w:val="00567E56"/>
    <w:rsid w:val="0057264C"/>
    <w:rsid w:val="00572ECC"/>
    <w:rsid w:val="00573410"/>
    <w:rsid w:val="0057549C"/>
    <w:rsid w:val="0057586F"/>
    <w:rsid w:val="00576FE3"/>
    <w:rsid w:val="00580B89"/>
    <w:rsid w:val="00584A35"/>
    <w:rsid w:val="00584A6D"/>
    <w:rsid w:val="00587557"/>
    <w:rsid w:val="00587FFC"/>
    <w:rsid w:val="00591361"/>
    <w:rsid w:val="005928B5"/>
    <w:rsid w:val="00594BC0"/>
    <w:rsid w:val="00594D17"/>
    <w:rsid w:val="0059558D"/>
    <w:rsid w:val="00596243"/>
    <w:rsid w:val="00596754"/>
    <w:rsid w:val="005973B3"/>
    <w:rsid w:val="00597B30"/>
    <w:rsid w:val="005A2077"/>
    <w:rsid w:val="005A2DFF"/>
    <w:rsid w:val="005A36CC"/>
    <w:rsid w:val="005A3D3E"/>
    <w:rsid w:val="005A7064"/>
    <w:rsid w:val="005A7FBF"/>
    <w:rsid w:val="005B117C"/>
    <w:rsid w:val="005B2D56"/>
    <w:rsid w:val="005B3E6A"/>
    <w:rsid w:val="005B63A8"/>
    <w:rsid w:val="005B660B"/>
    <w:rsid w:val="005C1DD4"/>
    <w:rsid w:val="005C335D"/>
    <w:rsid w:val="005C4D2B"/>
    <w:rsid w:val="005C4F72"/>
    <w:rsid w:val="005C5103"/>
    <w:rsid w:val="005D0845"/>
    <w:rsid w:val="005D27C0"/>
    <w:rsid w:val="005D30FC"/>
    <w:rsid w:val="005D4985"/>
    <w:rsid w:val="005D5A82"/>
    <w:rsid w:val="005D65D2"/>
    <w:rsid w:val="005D7AA7"/>
    <w:rsid w:val="005E11CF"/>
    <w:rsid w:val="005E4F51"/>
    <w:rsid w:val="005E5B4D"/>
    <w:rsid w:val="005E7F60"/>
    <w:rsid w:val="005F2C1B"/>
    <w:rsid w:val="005F32E6"/>
    <w:rsid w:val="005F4216"/>
    <w:rsid w:val="005F6BC3"/>
    <w:rsid w:val="005F6C5B"/>
    <w:rsid w:val="006005D2"/>
    <w:rsid w:val="00600C26"/>
    <w:rsid w:val="00600D8C"/>
    <w:rsid w:val="00601394"/>
    <w:rsid w:val="00601C23"/>
    <w:rsid w:val="00602347"/>
    <w:rsid w:val="00602877"/>
    <w:rsid w:val="00603503"/>
    <w:rsid w:val="0060481C"/>
    <w:rsid w:val="00605483"/>
    <w:rsid w:val="00605C8A"/>
    <w:rsid w:val="0060703D"/>
    <w:rsid w:val="006076B2"/>
    <w:rsid w:val="00611C70"/>
    <w:rsid w:val="00612E47"/>
    <w:rsid w:val="00616471"/>
    <w:rsid w:val="00616DCA"/>
    <w:rsid w:val="00622964"/>
    <w:rsid w:val="0062308D"/>
    <w:rsid w:val="00623D68"/>
    <w:rsid w:val="00624F52"/>
    <w:rsid w:val="00625FED"/>
    <w:rsid w:val="00626C83"/>
    <w:rsid w:val="0063049B"/>
    <w:rsid w:val="00636514"/>
    <w:rsid w:val="00641A83"/>
    <w:rsid w:val="0064210E"/>
    <w:rsid w:val="006428E0"/>
    <w:rsid w:val="006473A4"/>
    <w:rsid w:val="00653E93"/>
    <w:rsid w:val="00654EBF"/>
    <w:rsid w:val="00657C8D"/>
    <w:rsid w:val="00657DB3"/>
    <w:rsid w:val="00662071"/>
    <w:rsid w:val="006652F7"/>
    <w:rsid w:val="00665D48"/>
    <w:rsid w:val="00667E8F"/>
    <w:rsid w:val="00670862"/>
    <w:rsid w:val="0067111F"/>
    <w:rsid w:val="00673EE3"/>
    <w:rsid w:val="00674748"/>
    <w:rsid w:val="00677C70"/>
    <w:rsid w:val="0068062E"/>
    <w:rsid w:val="00680D04"/>
    <w:rsid w:val="00681FBD"/>
    <w:rsid w:val="006821AE"/>
    <w:rsid w:val="00682293"/>
    <w:rsid w:val="0068284D"/>
    <w:rsid w:val="00682CEC"/>
    <w:rsid w:val="00684326"/>
    <w:rsid w:val="00687C2C"/>
    <w:rsid w:val="00692A68"/>
    <w:rsid w:val="006966EB"/>
    <w:rsid w:val="006A05C7"/>
    <w:rsid w:val="006A16B4"/>
    <w:rsid w:val="006A1853"/>
    <w:rsid w:val="006A21EB"/>
    <w:rsid w:val="006A3B44"/>
    <w:rsid w:val="006A4CB4"/>
    <w:rsid w:val="006B06F1"/>
    <w:rsid w:val="006B1E1D"/>
    <w:rsid w:val="006B3E34"/>
    <w:rsid w:val="006B4F7B"/>
    <w:rsid w:val="006B5575"/>
    <w:rsid w:val="006C02AB"/>
    <w:rsid w:val="006C1FAF"/>
    <w:rsid w:val="006C5CDE"/>
    <w:rsid w:val="006C6579"/>
    <w:rsid w:val="006C7A3A"/>
    <w:rsid w:val="006D034B"/>
    <w:rsid w:val="006D147E"/>
    <w:rsid w:val="006D1D5A"/>
    <w:rsid w:val="006D1FB8"/>
    <w:rsid w:val="006D2C0F"/>
    <w:rsid w:val="006D3F68"/>
    <w:rsid w:val="006D3FF4"/>
    <w:rsid w:val="006D6496"/>
    <w:rsid w:val="006D65F0"/>
    <w:rsid w:val="006E248A"/>
    <w:rsid w:val="006E27E2"/>
    <w:rsid w:val="006E4415"/>
    <w:rsid w:val="006E517C"/>
    <w:rsid w:val="006E71A0"/>
    <w:rsid w:val="006E7D22"/>
    <w:rsid w:val="006F278C"/>
    <w:rsid w:val="006F37F0"/>
    <w:rsid w:val="006F4285"/>
    <w:rsid w:val="006F45F4"/>
    <w:rsid w:val="006F6837"/>
    <w:rsid w:val="00700A97"/>
    <w:rsid w:val="00701ED6"/>
    <w:rsid w:val="007022BA"/>
    <w:rsid w:val="007024E6"/>
    <w:rsid w:val="007026DB"/>
    <w:rsid w:val="00704E55"/>
    <w:rsid w:val="00706102"/>
    <w:rsid w:val="007063F6"/>
    <w:rsid w:val="0071065C"/>
    <w:rsid w:val="00712DE7"/>
    <w:rsid w:val="0071387F"/>
    <w:rsid w:val="00717221"/>
    <w:rsid w:val="00717606"/>
    <w:rsid w:val="00717BBD"/>
    <w:rsid w:val="00717C72"/>
    <w:rsid w:val="00717C90"/>
    <w:rsid w:val="00720389"/>
    <w:rsid w:val="00720E24"/>
    <w:rsid w:val="00725856"/>
    <w:rsid w:val="00726D79"/>
    <w:rsid w:val="00726F9E"/>
    <w:rsid w:val="007273FA"/>
    <w:rsid w:val="0072777E"/>
    <w:rsid w:val="00730983"/>
    <w:rsid w:val="0073586E"/>
    <w:rsid w:val="00740164"/>
    <w:rsid w:val="007404C5"/>
    <w:rsid w:val="00741707"/>
    <w:rsid w:val="007452BD"/>
    <w:rsid w:val="00746BE2"/>
    <w:rsid w:val="00747FFC"/>
    <w:rsid w:val="00754683"/>
    <w:rsid w:val="007555F9"/>
    <w:rsid w:val="00756C59"/>
    <w:rsid w:val="007576AC"/>
    <w:rsid w:val="00760A99"/>
    <w:rsid w:val="00763FF6"/>
    <w:rsid w:val="00764970"/>
    <w:rsid w:val="00764DF4"/>
    <w:rsid w:val="0076589E"/>
    <w:rsid w:val="00767222"/>
    <w:rsid w:val="00770218"/>
    <w:rsid w:val="0077097F"/>
    <w:rsid w:val="00771543"/>
    <w:rsid w:val="00772A37"/>
    <w:rsid w:val="00772B86"/>
    <w:rsid w:val="007738A8"/>
    <w:rsid w:val="00773F4F"/>
    <w:rsid w:val="007746FC"/>
    <w:rsid w:val="0077548F"/>
    <w:rsid w:val="0077580B"/>
    <w:rsid w:val="0077685B"/>
    <w:rsid w:val="007768DD"/>
    <w:rsid w:val="0078432B"/>
    <w:rsid w:val="00784D93"/>
    <w:rsid w:val="007865C8"/>
    <w:rsid w:val="00787737"/>
    <w:rsid w:val="00787A8A"/>
    <w:rsid w:val="00790985"/>
    <w:rsid w:val="0079174C"/>
    <w:rsid w:val="00794564"/>
    <w:rsid w:val="0079507C"/>
    <w:rsid w:val="007952BB"/>
    <w:rsid w:val="00797C04"/>
    <w:rsid w:val="007A13C3"/>
    <w:rsid w:val="007A1BFD"/>
    <w:rsid w:val="007A2BA1"/>
    <w:rsid w:val="007A6460"/>
    <w:rsid w:val="007A6553"/>
    <w:rsid w:val="007A71D0"/>
    <w:rsid w:val="007B0D01"/>
    <w:rsid w:val="007B2209"/>
    <w:rsid w:val="007B4F19"/>
    <w:rsid w:val="007B5B31"/>
    <w:rsid w:val="007B6298"/>
    <w:rsid w:val="007C20E4"/>
    <w:rsid w:val="007C3C43"/>
    <w:rsid w:val="007D12A5"/>
    <w:rsid w:val="007D2EF2"/>
    <w:rsid w:val="007D4E61"/>
    <w:rsid w:val="007D5AD6"/>
    <w:rsid w:val="007D685D"/>
    <w:rsid w:val="007E07A4"/>
    <w:rsid w:val="007E5EA5"/>
    <w:rsid w:val="007E748E"/>
    <w:rsid w:val="007E7B86"/>
    <w:rsid w:val="007F12E9"/>
    <w:rsid w:val="007F321E"/>
    <w:rsid w:val="007F64D2"/>
    <w:rsid w:val="0080060E"/>
    <w:rsid w:val="00802745"/>
    <w:rsid w:val="00802C87"/>
    <w:rsid w:val="00810672"/>
    <w:rsid w:val="00812161"/>
    <w:rsid w:val="00812886"/>
    <w:rsid w:val="00812FEB"/>
    <w:rsid w:val="008166EC"/>
    <w:rsid w:val="008170F3"/>
    <w:rsid w:val="00817570"/>
    <w:rsid w:val="0082037E"/>
    <w:rsid w:val="00820BE1"/>
    <w:rsid w:val="00820C6A"/>
    <w:rsid w:val="008214CD"/>
    <w:rsid w:val="0082427B"/>
    <w:rsid w:val="00824AE7"/>
    <w:rsid w:val="0082594D"/>
    <w:rsid w:val="00825BDD"/>
    <w:rsid w:val="008263F5"/>
    <w:rsid w:val="00827282"/>
    <w:rsid w:val="00831277"/>
    <w:rsid w:val="00831AA2"/>
    <w:rsid w:val="00833304"/>
    <w:rsid w:val="00834810"/>
    <w:rsid w:val="00835347"/>
    <w:rsid w:val="00837B46"/>
    <w:rsid w:val="00840E43"/>
    <w:rsid w:val="00841F07"/>
    <w:rsid w:val="008428E8"/>
    <w:rsid w:val="00847999"/>
    <w:rsid w:val="00850146"/>
    <w:rsid w:val="008503B8"/>
    <w:rsid w:val="008506AD"/>
    <w:rsid w:val="0085076A"/>
    <w:rsid w:val="008513B6"/>
    <w:rsid w:val="008531FF"/>
    <w:rsid w:val="00855010"/>
    <w:rsid w:val="00861A7B"/>
    <w:rsid w:val="00861B75"/>
    <w:rsid w:val="00862029"/>
    <w:rsid w:val="008623E2"/>
    <w:rsid w:val="00863208"/>
    <w:rsid w:val="0086393D"/>
    <w:rsid w:val="008656C3"/>
    <w:rsid w:val="008659C1"/>
    <w:rsid w:val="00865B32"/>
    <w:rsid w:val="0087003A"/>
    <w:rsid w:val="00873869"/>
    <w:rsid w:val="0087601D"/>
    <w:rsid w:val="00876CC8"/>
    <w:rsid w:val="00877401"/>
    <w:rsid w:val="00881AC2"/>
    <w:rsid w:val="00883312"/>
    <w:rsid w:val="00883F45"/>
    <w:rsid w:val="00885876"/>
    <w:rsid w:val="008858C7"/>
    <w:rsid w:val="0088640C"/>
    <w:rsid w:val="00886A99"/>
    <w:rsid w:val="00886D8C"/>
    <w:rsid w:val="00886E14"/>
    <w:rsid w:val="00887EF5"/>
    <w:rsid w:val="008922A5"/>
    <w:rsid w:val="008937D2"/>
    <w:rsid w:val="00894E75"/>
    <w:rsid w:val="00895046"/>
    <w:rsid w:val="00895A33"/>
    <w:rsid w:val="0089664B"/>
    <w:rsid w:val="00897F0D"/>
    <w:rsid w:val="008A2313"/>
    <w:rsid w:val="008A2BE9"/>
    <w:rsid w:val="008A655C"/>
    <w:rsid w:val="008A79A7"/>
    <w:rsid w:val="008B0590"/>
    <w:rsid w:val="008B3B25"/>
    <w:rsid w:val="008B433E"/>
    <w:rsid w:val="008B571E"/>
    <w:rsid w:val="008B5B68"/>
    <w:rsid w:val="008B5E3A"/>
    <w:rsid w:val="008B6CCA"/>
    <w:rsid w:val="008C0247"/>
    <w:rsid w:val="008C14A7"/>
    <w:rsid w:val="008C240C"/>
    <w:rsid w:val="008C26FD"/>
    <w:rsid w:val="008C3DD2"/>
    <w:rsid w:val="008C3EBD"/>
    <w:rsid w:val="008C4A23"/>
    <w:rsid w:val="008C65CC"/>
    <w:rsid w:val="008C6D55"/>
    <w:rsid w:val="008C73AA"/>
    <w:rsid w:val="008C759D"/>
    <w:rsid w:val="008C7C40"/>
    <w:rsid w:val="008D172D"/>
    <w:rsid w:val="008D1AAC"/>
    <w:rsid w:val="008D253A"/>
    <w:rsid w:val="008D3952"/>
    <w:rsid w:val="008D4B49"/>
    <w:rsid w:val="008D6253"/>
    <w:rsid w:val="008D791F"/>
    <w:rsid w:val="008D7E97"/>
    <w:rsid w:val="008E0206"/>
    <w:rsid w:val="008E3ED3"/>
    <w:rsid w:val="008E4A87"/>
    <w:rsid w:val="008E6004"/>
    <w:rsid w:val="008F0B90"/>
    <w:rsid w:val="008F1E40"/>
    <w:rsid w:val="008F28B7"/>
    <w:rsid w:val="008F440E"/>
    <w:rsid w:val="008F4C6E"/>
    <w:rsid w:val="008F5231"/>
    <w:rsid w:val="008F5915"/>
    <w:rsid w:val="008F5A3B"/>
    <w:rsid w:val="008F72AD"/>
    <w:rsid w:val="008F7AF3"/>
    <w:rsid w:val="00901470"/>
    <w:rsid w:val="009029A1"/>
    <w:rsid w:val="009041B2"/>
    <w:rsid w:val="00904718"/>
    <w:rsid w:val="00910A85"/>
    <w:rsid w:val="00910B5F"/>
    <w:rsid w:val="00911376"/>
    <w:rsid w:val="009125FB"/>
    <w:rsid w:val="00912989"/>
    <w:rsid w:val="00914008"/>
    <w:rsid w:val="0091402C"/>
    <w:rsid w:val="00915305"/>
    <w:rsid w:val="00915ADF"/>
    <w:rsid w:val="00916F46"/>
    <w:rsid w:val="00917681"/>
    <w:rsid w:val="0092146E"/>
    <w:rsid w:val="009216A4"/>
    <w:rsid w:val="009225A1"/>
    <w:rsid w:val="009230C3"/>
    <w:rsid w:val="00923A49"/>
    <w:rsid w:val="009242B7"/>
    <w:rsid w:val="009242BF"/>
    <w:rsid w:val="00925333"/>
    <w:rsid w:val="009259A4"/>
    <w:rsid w:val="00926E9F"/>
    <w:rsid w:val="00927706"/>
    <w:rsid w:val="00932CBC"/>
    <w:rsid w:val="00935A01"/>
    <w:rsid w:val="0093777C"/>
    <w:rsid w:val="009379F6"/>
    <w:rsid w:val="00941BE2"/>
    <w:rsid w:val="00942C80"/>
    <w:rsid w:val="00943282"/>
    <w:rsid w:val="00943665"/>
    <w:rsid w:val="0094501C"/>
    <w:rsid w:val="0094532F"/>
    <w:rsid w:val="0094695D"/>
    <w:rsid w:val="00955EB5"/>
    <w:rsid w:val="00955ED8"/>
    <w:rsid w:val="00957570"/>
    <w:rsid w:val="00961E8D"/>
    <w:rsid w:val="009622C1"/>
    <w:rsid w:val="00964DC5"/>
    <w:rsid w:val="009667F6"/>
    <w:rsid w:val="009671BA"/>
    <w:rsid w:val="009673B9"/>
    <w:rsid w:val="0096794A"/>
    <w:rsid w:val="009679BC"/>
    <w:rsid w:val="009713FD"/>
    <w:rsid w:val="00971AA6"/>
    <w:rsid w:val="00971E70"/>
    <w:rsid w:val="0097445E"/>
    <w:rsid w:val="00974D7D"/>
    <w:rsid w:val="0097659D"/>
    <w:rsid w:val="0097783B"/>
    <w:rsid w:val="00977DF0"/>
    <w:rsid w:val="009806CE"/>
    <w:rsid w:val="00980D40"/>
    <w:rsid w:val="00982695"/>
    <w:rsid w:val="00984025"/>
    <w:rsid w:val="0098467E"/>
    <w:rsid w:val="009868B0"/>
    <w:rsid w:val="00993506"/>
    <w:rsid w:val="009944D0"/>
    <w:rsid w:val="009948E9"/>
    <w:rsid w:val="009957D1"/>
    <w:rsid w:val="009969E0"/>
    <w:rsid w:val="00997708"/>
    <w:rsid w:val="009A0A02"/>
    <w:rsid w:val="009A1FAA"/>
    <w:rsid w:val="009A3CA9"/>
    <w:rsid w:val="009A535F"/>
    <w:rsid w:val="009A6EB0"/>
    <w:rsid w:val="009A742F"/>
    <w:rsid w:val="009B0A4E"/>
    <w:rsid w:val="009B1456"/>
    <w:rsid w:val="009B424A"/>
    <w:rsid w:val="009B5EA3"/>
    <w:rsid w:val="009C43C0"/>
    <w:rsid w:val="009C6360"/>
    <w:rsid w:val="009C7228"/>
    <w:rsid w:val="009D20B8"/>
    <w:rsid w:val="009D2A93"/>
    <w:rsid w:val="009D31DA"/>
    <w:rsid w:val="009D31F6"/>
    <w:rsid w:val="009D4CE3"/>
    <w:rsid w:val="009D67F5"/>
    <w:rsid w:val="009E1561"/>
    <w:rsid w:val="009E2971"/>
    <w:rsid w:val="009E2C22"/>
    <w:rsid w:val="009E3B07"/>
    <w:rsid w:val="009E58D8"/>
    <w:rsid w:val="009F2196"/>
    <w:rsid w:val="009F6855"/>
    <w:rsid w:val="009F69A4"/>
    <w:rsid w:val="009F6E41"/>
    <w:rsid w:val="00A00A42"/>
    <w:rsid w:val="00A01176"/>
    <w:rsid w:val="00A015D3"/>
    <w:rsid w:val="00A023DF"/>
    <w:rsid w:val="00A0438A"/>
    <w:rsid w:val="00A044FE"/>
    <w:rsid w:val="00A04690"/>
    <w:rsid w:val="00A05516"/>
    <w:rsid w:val="00A07712"/>
    <w:rsid w:val="00A10E83"/>
    <w:rsid w:val="00A13741"/>
    <w:rsid w:val="00A14F90"/>
    <w:rsid w:val="00A161C4"/>
    <w:rsid w:val="00A17FAB"/>
    <w:rsid w:val="00A22552"/>
    <w:rsid w:val="00A25BD0"/>
    <w:rsid w:val="00A27745"/>
    <w:rsid w:val="00A30349"/>
    <w:rsid w:val="00A35E84"/>
    <w:rsid w:val="00A36961"/>
    <w:rsid w:val="00A36A2B"/>
    <w:rsid w:val="00A375D1"/>
    <w:rsid w:val="00A37A7D"/>
    <w:rsid w:val="00A402D3"/>
    <w:rsid w:val="00A409CD"/>
    <w:rsid w:val="00A41107"/>
    <w:rsid w:val="00A437C7"/>
    <w:rsid w:val="00A451D1"/>
    <w:rsid w:val="00A46526"/>
    <w:rsid w:val="00A46618"/>
    <w:rsid w:val="00A512E0"/>
    <w:rsid w:val="00A5155A"/>
    <w:rsid w:val="00A5375B"/>
    <w:rsid w:val="00A54524"/>
    <w:rsid w:val="00A54C42"/>
    <w:rsid w:val="00A6105D"/>
    <w:rsid w:val="00A61141"/>
    <w:rsid w:val="00A6216C"/>
    <w:rsid w:val="00A65D4C"/>
    <w:rsid w:val="00A73EF1"/>
    <w:rsid w:val="00A76347"/>
    <w:rsid w:val="00A766F6"/>
    <w:rsid w:val="00A76966"/>
    <w:rsid w:val="00A77ABF"/>
    <w:rsid w:val="00A85301"/>
    <w:rsid w:val="00A85639"/>
    <w:rsid w:val="00A875AE"/>
    <w:rsid w:val="00A92239"/>
    <w:rsid w:val="00A9671C"/>
    <w:rsid w:val="00AA138E"/>
    <w:rsid w:val="00AA198A"/>
    <w:rsid w:val="00AA4509"/>
    <w:rsid w:val="00AA56A5"/>
    <w:rsid w:val="00AA57E3"/>
    <w:rsid w:val="00AA71FC"/>
    <w:rsid w:val="00AB2817"/>
    <w:rsid w:val="00AB2D29"/>
    <w:rsid w:val="00AB3CE5"/>
    <w:rsid w:val="00AB4177"/>
    <w:rsid w:val="00AB5F19"/>
    <w:rsid w:val="00AB7A8F"/>
    <w:rsid w:val="00AB7FD6"/>
    <w:rsid w:val="00AC0A24"/>
    <w:rsid w:val="00AC170D"/>
    <w:rsid w:val="00AC4B50"/>
    <w:rsid w:val="00AC6CF2"/>
    <w:rsid w:val="00AC78FA"/>
    <w:rsid w:val="00AD081A"/>
    <w:rsid w:val="00AD352E"/>
    <w:rsid w:val="00AD4BD7"/>
    <w:rsid w:val="00AD5D86"/>
    <w:rsid w:val="00AD75E3"/>
    <w:rsid w:val="00AD79FA"/>
    <w:rsid w:val="00AE1AE8"/>
    <w:rsid w:val="00AE32B8"/>
    <w:rsid w:val="00AE3546"/>
    <w:rsid w:val="00AE40CC"/>
    <w:rsid w:val="00AE55AB"/>
    <w:rsid w:val="00AE5738"/>
    <w:rsid w:val="00AE5AED"/>
    <w:rsid w:val="00AE73E1"/>
    <w:rsid w:val="00AF1D74"/>
    <w:rsid w:val="00AF2684"/>
    <w:rsid w:val="00AF4412"/>
    <w:rsid w:val="00AF5681"/>
    <w:rsid w:val="00AF7940"/>
    <w:rsid w:val="00B01BB8"/>
    <w:rsid w:val="00B0333D"/>
    <w:rsid w:val="00B04792"/>
    <w:rsid w:val="00B0494A"/>
    <w:rsid w:val="00B04971"/>
    <w:rsid w:val="00B072E5"/>
    <w:rsid w:val="00B11549"/>
    <w:rsid w:val="00B126CF"/>
    <w:rsid w:val="00B16BAF"/>
    <w:rsid w:val="00B22257"/>
    <w:rsid w:val="00B2397B"/>
    <w:rsid w:val="00B25BF8"/>
    <w:rsid w:val="00B26F27"/>
    <w:rsid w:val="00B272B6"/>
    <w:rsid w:val="00B30CA4"/>
    <w:rsid w:val="00B31EAA"/>
    <w:rsid w:val="00B325A4"/>
    <w:rsid w:val="00B32683"/>
    <w:rsid w:val="00B32CE6"/>
    <w:rsid w:val="00B33817"/>
    <w:rsid w:val="00B33A0A"/>
    <w:rsid w:val="00B33BAA"/>
    <w:rsid w:val="00B33DDA"/>
    <w:rsid w:val="00B34EA7"/>
    <w:rsid w:val="00B35D23"/>
    <w:rsid w:val="00B3754C"/>
    <w:rsid w:val="00B41475"/>
    <w:rsid w:val="00B4482C"/>
    <w:rsid w:val="00B506B4"/>
    <w:rsid w:val="00B52601"/>
    <w:rsid w:val="00B53225"/>
    <w:rsid w:val="00B5368B"/>
    <w:rsid w:val="00B53E4A"/>
    <w:rsid w:val="00B56056"/>
    <w:rsid w:val="00B56702"/>
    <w:rsid w:val="00B568C4"/>
    <w:rsid w:val="00B572D6"/>
    <w:rsid w:val="00B6271F"/>
    <w:rsid w:val="00B63543"/>
    <w:rsid w:val="00B636FA"/>
    <w:rsid w:val="00B64732"/>
    <w:rsid w:val="00B67B1B"/>
    <w:rsid w:val="00B72501"/>
    <w:rsid w:val="00B72E30"/>
    <w:rsid w:val="00B7442F"/>
    <w:rsid w:val="00B75314"/>
    <w:rsid w:val="00B77A36"/>
    <w:rsid w:val="00B77DED"/>
    <w:rsid w:val="00B83766"/>
    <w:rsid w:val="00B84576"/>
    <w:rsid w:val="00B84960"/>
    <w:rsid w:val="00B8557A"/>
    <w:rsid w:val="00B9039C"/>
    <w:rsid w:val="00B908E5"/>
    <w:rsid w:val="00B926E7"/>
    <w:rsid w:val="00B94FBC"/>
    <w:rsid w:val="00B972F7"/>
    <w:rsid w:val="00B97599"/>
    <w:rsid w:val="00BA021E"/>
    <w:rsid w:val="00BA249E"/>
    <w:rsid w:val="00BA2BB6"/>
    <w:rsid w:val="00BA4C3E"/>
    <w:rsid w:val="00BB0385"/>
    <w:rsid w:val="00BB2B65"/>
    <w:rsid w:val="00BB4FEE"/>
    <w:rsid w:val="00BB52BD"/>
    <w:rsid w:val="00BB5366"/>
    <w:rsid w:val="00BB5D2F"/>
    <w:rsid w:val="00BB798F"/>
    <w:rsid w:val="00BC1787"/>
    <w:rsid w:val="00BC53D4"/>
    <w:rsid w:val="00BC6E5F"/>
    <w:rsid w:val="00BC78A9"/>
    <w:rsid w:val="00BD0A5C"/>
    <w:rsid w:val="00BD0EDD"/>
    <w:rsid w:val="00BD3688"/>
    <w:rsid w:val="00BD4D18"/>
    <w:rsid w:val="00BD7737"/>
    <w:rsid w:val="00BE02BB"/>
    <w:rsid w:val="00BE04D9"/>
    <w:rsid w:val="00BE069B"/>
    <w:rsid w:val="00BE53AD"/>
    <w:rsid w:val="00BE7949"/>
    <w:rsid w:val="00BF0B5C"/>
    <w:rsid w:val="00BF0BBE"/>
    <w:rsid w:val="00BF328E"/>
    <w:rsid w:val="00BF5FB5"/>
    <w:rsid w:val="00BF7B82"/>
    <w:rsid w:val="00C0255C"/>
    <w:rsid w:val="00C03871"/>
    <w:rsid w:val="00C03C2B"/>
    <w:rsid w:val="00C03C8D"/>
    <w:rsid w:val="00C04C79"/>
    <w:rsid w:val="00C10E9F"/>
    <w:rsid w:val="00C12FFD"/>
    <w:rsid w:val="00C13A99"/>
    <w:rsid w:val="00C1725E"/>
    <w:rsid w:val="00C20A07"/>
    <w:rsid w:val="00C23B69"/>
    <w:rsid w:val="00C260E5"/>
    <w:rsid w:val="00C263EB"/>
    <w:rsid w:val="00C31433"/>
    <w:rsid w:val="00C31DBC"/>
    <w:rsid w:val="00C32EAA"/>
    <w:rsid w:val="00C33EB9"/>
    <w:rsid w:val="00C35640"/>
    <w:rsid w:val="00C40086"/>
    <w:rsid w:val="00C40FD4"/>
    <w:rsid w:val="00C42430"/>
    <w:rsid w:val="00C44226"/>
    <w:rsid w:val="00C503A0"/>
    <w:rsid w:val="00C50853"/>
    <w:rsid w:val="00C50FF7"/>
    <w:rsid w:val="00C51001"/>
    <w:rsid w:val="00C51180"/>
    <w:rsid w:val="00C511BA"/>
    <w:rsid w:val="00C51FA9"/>
    <w:rsid w:val="00C52108"/>
    <w:rsid w:val="00C53665"/>
    <w:rsid w:val="00C55748"/>
    <w:rsid w:val="00C57637"/>
    <w:rsid w:val="00C605EB"/>
    <w:rsid w:val="00C622CC"/>
    <w:rsid w:val="00C62660"/>
    <w:rsid w:val="00C64AEB"/>
    <w:rsid w:val="00C64CD8"/>
    <w:rsid w:val="00C66487"/>
    <w:rsid w:val="00C7120E"/>
    <w:rsid w:val="00C72859"/>
    <w:rsid w:val="00C72BD9"/>
    <w:rsid w:val="00C74433"/>
    <w:rsid w:val="00C749B0"/>
    <w:rsid w:val="00C80BC9"/>
    <w:rsid w:val="00C84CED"/>
    <w:rsid w:val="00C86BCA"/>
    <w:rsid w:val="00C9173B"/>
    <w:rsid w:val="00C91AAB"/>
    <w:rsid w:val="00C93093"/>
    <w:rsid w:val="00C935F9"/>
    <w:rsid w:val="00C93B3C"/>
    <w:rsid w:val="00C9422D"/>
    <w:rsid w:val="00C9555E"/>
    <w:rsid w:val="00C95EBA"/>
    <w:rsid w:val="00C96429"/>
    <w:rsid w:val="00C96A26"/>
    <w:rsid w:val="00CA1BF8"/>
    <w:rsid w:val="00CA1D76"/>
    <w:rsid w:val="00CA1E41"/>
    <w:rsid w:val="00CA308A"/>
    <w:rsid w:val="00CA6F29"/>
    <w:rsid w:val="00CA74AE"/>
    <w:rsid w:val="00CA7A46"/>
    <w:rsid w:val="00CA7E49"/>
    <w:rsid w:val="00CB4EBD"/>
    <w:rsid w:val="00CB4EF0"/>
    <w:rsid w:val="00CB54C9"/>
    <w:rsid w:val="00CC1C97"/>
    <w:rsid w:val="00CC3281"/>
    <w:rsid w:val="00CC4FC5"/>
    <w:rsid w:val="00CC7A96"/>
    <w:rsid w:val="00CD2525"/>
    <w:rsid w:val="00CD5C07"/>
    <w:rsid w:val="00CD6A0E"/>
    <w:rsid w:val="00CD7A86"/>
    <w:rsid w:val="00CE28CE"/>
    <w:rsid w:val="00CE3903"/>
    <w:rsid w:val="00CF05E2"/>
    <w:rsid w:val="00CF300B"/>
    <w:rsid w:val="00CF6C7B"/>
    <w:rsid w:val="00CF735F"/>
    <w:rsid w:val="00CF76A0"/>
    <w:rsid w:val="00CF7F2E"/>
    <w:rsid w:val="00D001F6"/>
    <w:rsid w:val="00D025B6"/>
    <w:rsid w:val="00D05D2B"/>
    <w:rsid w:val="00D13D46"/>
    <w:rsid w:val="00D14FEF"/>
    <w:rsid w:val="00D20143"/>
    <w:rsid w:val="00D21619"/>
    <w:rsid w:val="00D21784"/>
    <w:rsid w:val="00D21FA2"/>
    <w:rsid w:val="00D22247"/>
    <w:rsid w:val="00D2271D"/>
    <w:rsid w:val="00D227D2"/>
    <w:rsid w:val="00D22A8C"/>
    <w:rsid w:val="00D22C3D"/>
    <w:rsid w:val="00D22F73"/>
    <w:rsid w:val="00D23EA1"/>
    <w:rsid w:val="00D32279"/>
    <w:rsid w:val="00D32F5B"/>
    <w:rsid w:val="00D3555F"/>
    <w:rsid w:val="00D35E24"/>
    <w:rsid w:val="00D35F9E"/>
    <w:rsid w:val="00D378F8"/>
    <w:rsid w:val="00D41DB8"/>
    <w:rsid w:val="00D4414F"/>
    <w:rsid w:val="00D45D0C"/>
    <w:rsid w:val="00D54724"/>
    <w:rsid w:val="00D5627B"/>
    <w:rsid w:val="00D56956"/>
    <w:rsid w:val="00D570AF"/>
    <w:rsid w:val="00D61A4A"/>
    <w:rsid w:val="00D62419"/>
    <w:rsid w:val="00D639EB"/>
    <w:rsid w:val="00D6419E"/>
    <w:rsid w:val="00D6487F"/>
    <w:rsid w:val="00D70103"/>
    <w:rsid w:val="00D72A89"/>
    <w:rsid w:val="00D72FB2"/>
    <w:rsid w:val="00D72FC6"/>
    <w:rsid w:val="00D75088"/>
    <w:rsid w:val="00D7566B"/>
    <w:rsid w:val="00D828D9"/>
    <w:rsid w:val="00D82C95"/>
    <w:rsid w:val="00D86B38"/>
    <w:rsid w:val="00D904A7"/>
    <w:rsid w:val="00D9059E"/>
    <w:rsid w:val="00D90625"/>
    <w:rsid w:val="00D90A41"/>
    <w:rsid w:val="00D92146"/>
    <w:rsid w:val="00D92949"/>
    <w:rsid w:val="00D9742C"/>
    <w:rsid w:val="00DA33FD"/>
    <w:rsid w:val="00DA468F"/>
    <w:rsid w:val="00DA6173"/>
    <w:rsid w:val="00DA7378"/>
    <w:rsid w:val="00DB1A2A"/>
    <w:rsid w:val="00DB3DC3"/>
    <w:rsid w:val="00DB606A"/>
    <w:rsid w:val="00DB6446"/>
    <w:rsid w:val="00DB6E26"/>
    <w:rsid w:val="00DC0885"/>
    <w:rsid w:val="00DC0A9D"/>
    <w:rsid w:val="00DC0C87"/>
    <w:rsid w:val="00DC37F5"/>
    <w:rsid w:val="00DC3CA4"/>
    <w:rsid w:val="00DC69D4"/>
    <w:rsid w:val="00DC6F98"/>
    <w:rsid w:val="00DD3243"/>
    <w:rsid w:val="00DD3EFA"/>
    <w:rsid w:val="00DD4371"/>
    <w:rsid w:val="00DD4AB4"/>
    <w:rsid w:val="00DD5554"/>
    <w:rsid w:val="00DE146F"/>
    <w:rsid w:val="00DE1555"/>
    <w:rsid w:val="00DE19CF"/>
    <w:rsid w:val="00DE44CF"/>
    <w:rsid w:val="00DE69B9"/>
    <w:rsid w:val="00DF1056"/>
    <w:rsid w:val="00E02425"/>
    <w:rsid w:val="00E0245E"/>
    <w:rsid w:val="00E036C6"/>
    <w:rsid w:val="00E04B6E"/>
    <w:rsid w:val="00E129F5"/>
    <w:rsid w:val="00E12F72"/>
    <w:rsid w:val="00E139F5"/>
    <w:rsid w:val="00E1426E"/>
    <w:rsid w:val="00E15A49"/>
    <w:rsid w:val="00E1626B"/>
    <w:rsid w:val="00E16E3C"/>
    <w:rsid w:val="00E212A8"/>
    <w:rsid w:val="00E22099"/>
    <w:rsid w:val="00E25E25"/>
    <w:rsid w:val="00E268C6"/>
    <w:rsid w:val="00E30504"/>
    <w:rsid w:val="00E314A7"/>
    <w:rsid w:val="00E31B8D"/>
    <w:rsid w:val="00E31E7F"/>
    <w:rsid w:val="00E32449"/>
    <w:rsid w:val="00E324B5"/>
    <w:rsid w:val="00E32B5A"/>
    <w:rsid w:val="00E34B70"/>
    <w:rsid w:val="00E35AC1"/>
    <w:rsid w:val="00E362EE"/>
    <w:rsid w:val="00E36448"/>
    <w:rsid w:val="00E3677E"/>
    <w:rsid w:val="00E4125B"/>
    <w:rsid w:val="00E413B4"/>
    <w:rsid w:val="00E4200A"/>
    <w:rsid w:val="00E447EB"/>
    <w:rsid w:val="00E45EAF"/>
    <w:rsid w:val="00E45F11"/>
    <w:rsid w:val="00E46892"/>
    <w:rsid w:val="00E51A68"/>
    <w:rsid w:val="00E53B1C"/>
    <w:rsid w:val="00E54113"/>
    <w:rsid w:val="00E55D52"/>
    <w:rsid w:val="00E56F07"/>
    <w:rsid w:val="00E5786B"/>
    <w:rsid w:val="00E61700"/>
    <w:rsid w:val="00E6189A"/>
    <w:rsid w:val="00E625ED"/>
    <w:rsid w:val="00E64121"/>
    <w:rsid w:val="00E6527F"/>
    <w:rsid w:val="00E67F6D"/>
    <w:rsid w:val="00E70B54"/>
    <w:rsid w:val="00E72851"/>
    <w:rsid w:val="00E73368"/>
    <w:rsid w:val="00E740E8"/>
    <w:rsid w:val="00E74699"/>
    <w:rsid w:val="00E75545"/>
    <w:rsid w:val="00E76BD3"/>
    <w:rsid w:val="00E76C55"/>
    <w:rsid w:val="00E826D2"/>
    <w:rsid w:val="00E8356E"/>
    <w:rsid w:val="00E837E1"/>
    <w:rsid w:val="00E83DB3"/>
    <w:rsid w:val="00E87F20"/>
    <w:rsid w:val="00E90789"/>
    <w:rsid w:val="00E924DD"/>
    <w:rsid w:val="00E92B30"/>
    <w:rsid w:val="00E92D46"/>
    <w:rsid w:val="00E94AD3"/>
    <w:rsid w:val="00E959EF"/>
    <w:rsid w:val="00EA2B68"/>
    <w:rsid w:val="00EA30CA"/>
    <w:rsid w:val="00EA425E"/>
    <w:rsid w:val="00EA434C"/>
    <w:rsid w:val="00EA5362"/>
    <w:rsid w:val="00EA5E4B"/>
    <w:rsid w:val="00EA6C35"/>
    <w:rsid w:val="00EA788C"/>
    <w:rsid w:val="00EA7942"/>
    <w:rsid w:val="00EB1013"/>
    <w:rsid w:val="00EB1CB9"/>
    <w:rsid w:val="00EB6B45"/>
    <w:rsid w:val="00EB7A3D"/>
    <w:rsid w:val="00EC092F"/>
    <w:rsid w:val="00EC1827"/>
    <w:rsid w:val="00EC259D"/>
    <w:rsid w:val="00EC3A09"/>
    <w:rsid w:val="00EC4E8C"/>
    <w:rsid w:val="00ED271A"/>
    <w:rsid w:val="00ED35C4"/>
    <w:rsid w:val="00ED3EED"/>
    <w:rsid w:val="00ED4531"/>
    <w:rsid w:val="00ED5633"/>
    <w:rsid w:val="00ED7510"/>
    <w:rsid w:val="00EE0C9E"/>
    <w:rsid w:val="00EE38DD"/>
    <w:rsid w:val="00EE548D"/>
    <w:rsid w:val="00EE65E5"/>
    <w:rsid w:val="00EE73C1"/>
    <w:rsid w:val="00EF1E6C"/>
    <w:rsid w:val="00EF4051"/>
    <w:rsid w:val="00EF5117"/>
    <w:rsid w:val="00EF6136"/>
    <w:rsid w:val="00EF6906"/>
    <w:rsid w:val="00EF75E1"/>
    <w:rsid w:val="00F018C9"/>
    <w:rsid w:val="00F02F37"/>
    <w:rsid w:val="00F04405"/>
    <w:rsid w:val="00F059E2"/>
    <w:rsid w:val="00F0644D"/>
    <w:rsid w:val="00F0673E"/>
    <w:rsid w:val="00F069B5"/>
    <w:rsid w:val="00F07435"/>
    <w:rsid w:val="00F1287B"/>
    <w:rsid w:val="00F13155"/>
    <w:rsid w:val="00F15A64"/>
    <w:rsid w:val="00F1689D"/>
    <w:rsid w:val="00F16FC5"/>
    <w:rsid w:val="00F254F5"/>
    <w:rsid w:val="00F2703B"/>
    <w:rsid w:val="00F31044"/>
    <w:rsid w:val="00F34125"/>
    <w:rsid w:val="00F35061"/>
    <w:rsid w:val="00F35640"/>
    <w:rsid w:val="00F36EF0"/>
    <w:rsid w:val="00F40724"/>
    <w:rsid w:val="00F41841"/>
    <w:rsid w:val="00F42D48"/>
    <w:rsid w:val="00F43651"/>
    <w:rsid w:val="00F44A22"/>
    <w:rsid w:val="00F4565D"/>
    <w:rsid w:val="00F46062"/>
    <w:rsid w:val="00F46410"/>
    <w:rsid w:val="00F46E7F"/>
    <w:rsid w:val="00F47ACB"/>
    <w:rsid w:val="00F50E63"/>
    <w:rsid w:val="00F51FD6"/>
    <w:rsid w:val="00F55504"/>
    <w:rsid w:val="00F5733D"/>
    <w:rsid w:val="00F60BD8"/>
    <w:rsid w:val="00F6417E"/>
    <w:rsid w:val="00F6473E"/>
    <w:rsid w:val="00F6608A"/>
    <w:rsid w:val="00F66D83"/>
    <w:rsid w:val="00F700D1"/>
    <w:rsid w:val="00F74CFE"/>
    <w:rsid w:val="00F75F6C"/>
    <w:rsid w:val="00F80DBF"/>
    <w:rsid w:val="00F81C4E"/>
    <w:rsid w:val="00F83D00"/>
    <w:rsid w:val="00F90618"/>
    <w:rsid w:val="00F91418"/>
    <w:rsid w:val="00F92373"/>
    <w:rsid w:val="00FA2084"/>
    <w:rsid w:val="00FA4E28"/>
    <w:rsid w:val="00FA5685"/>
    <w:rsid w:val="00FA5E57"/>
    <w:rsid w:val="00FB01A6"/>
    <w:rsid w:val="00FB5B36"/>
    <w:rsid w:val="00FC0D81"/>
    <w:rsid w:val="00FC1A2C"/>
    <w:rsid w:val="00FC4C5A"/>
    <w:rsid w:val="00FC5E68"/>
    <w:rsid w:val="00FC651D"/>
    <w:rsid w:val="00FC700F"/>
    <w:rsid w:val="00FC7D2E"/>
    <w:rsid w:val="00FC7E16"/>
    <w:rsid w:val="00FD0B96"/>
    <w:rsid w:val="00FD2F31"/>
    <w:rsid w:val="00FD624A"/>
    <w:rsid w:val="00FD6D57"/>
    <w:rsid w:val="00FD6D63"/>
    <w:rsid w:val="00FD7D99"/>
    <w:rsid w:val="00FE0F54"/>
    <w:rsid w:val="00FE186D"/>
    <w:rsid w:val="00FE1E74"/>
    <w:rsid w:val="00FE5CD0"/>
    <w:rsid w:val="00FE7356"/>
    <w:rsid w:val="00FF347C"/>
    <w:rsid w:val="00FF51E6"/>
    <w:rsid w:val="00FF52E8"/>
    <w:rsid w:val="00FF5617"/>
    <w:rsid w:val="00FF575D"/>
    <w:rsid w:val="00FF6C20"/>
    <w:rsid w:val="00FF79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E07003C5-4301-45CF-94C6-11DC151B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281"/>
    <w:rPr>
      <w:sz w:val="24"/>
      <w:lang w:val="en-AU" w:eastAsia="en-US"/>
    </w:rPr>
  </w:style>
  <w:style w:type="paragraph" w:styleId="1">
    <w:name w:val="heading 1"/>
    <w:basedOn w:val="a"/>
    <w:next w:val="a"/>
    <w:qFormat/>
    <w:pPr>
      <w:keepNext/>
      <w:jc w:val="center"/>
      <w:outlineLvl w:val="0"/>
    </w:pPr>
    <w:rPr>
      <w:b/>
      <w:bCs/>
      <w:sz w:val="28"/>
      <w:lang w:val="el-GR"/>
    </w:rPr>
  </w:style>
  <w:style w:type="paragraph" w:styleId="2">
    <w:name w:val="heading 2"/>
    <w:basedOn w:val="a"/>
    <w:next w:val="a"/>
    <w:qFormat/>
    <w:pPr>
      <w:keepNext/>
      <w:jc w:val="center"/>
      <w:outlineLvl w:val="1"/>
    </w:pPr>
    <w:rPr>
      <w:sz w:val="28"/>
      <w:lang w:val="el-GR"/>
    </w:rPr>
  </w:style>
  <w:style w:type="paragraph" w:styleId="9">
    <w:name w:val="heading 9"/>
    <w:basedOn w:val="a"/>
    <w:next w:val="a"/>
    <w:qFormat/>
    <w:pPr>
      <w:keepNext/>
      <w:spacing w:line="288" w:lineRule="auto"/>
      <w:ind w:left="5040" w:right="91" w:firstLine="720"/>
      <w:jc w:val="both"/>
      <w:outlineLvl w:val="8"/>
    </w:pPr>
    <w:rPr>
      <w:b/>
      <w:sz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2"/>
      <w:lang w:val="en-US"/>
    </w:rPr>
  </w:style>
  <w:style w:type="paragraph" w:styleId="a4">
    <w:name w:val="footer"/>
    <w:basedOn w:val="a"/>
    <w:pPr>
      <w:tabs>
        <w:tab w:val="center" w:pos="4320"/>
        <w:tab w:val="right" w:pos="8640"/>
      </w:tabs>
    </w:pPr>
    <w:rPr>
      <w:sz w:val="20"/>
      <w:lang w:val="en-US"/>
    </w:rPr>
  </w:style>
  <w:style w:type="character" w:styleId="-">
    <w:name w:val="Hyperlink"/>
    <w:rPr>
      <w:color w:val="0000FF"/>
      <w:u w:val="single"/>
    </w:rPr>
  </w:style>
  <w:style w:type="paragraph" w:styleId="a5">
    <w:name w:val="Subtitle"/>
    <w:basedOn w:val="a"/>
    <w:qFormat/>
    <w:pPr>
      <w:jc w:val="center"/>
      <w:outlineLvl w:val="0"/>
    </w:pPr>
    <w:rPr>
      <w:b/>
      <w:lang w:val="el-GR"/>
    </w:rPr>
  </w:style>
  <w:style w:type="character" w:styleId="-0">
    <w:name w:val="FollowedHyperlink"/>
    <w:rPr>
      <w:color w:val="800080"/>
      <w:u w:val="single"/>
    </w:rPr>
  </w:style>
  <w:style w:type="paragraph" w:styleId="a6">
    <w:name w:val="header"/>
    <w:basedOn w:val="a"/>
    <w:pPr>
      <w:tabs>
        <w:tab w:val="center" w:pos="4153"/>
        <w:tab w:val="right" w:pos="8306"/>
      </w:tabs>
    </w:pPr>
  </w:style>
  <w:style w:type="paragraph" w:styleId="a7">
    <w:name w:val="Body Text"/>
    <w:basedOn w:val="a"/>
    <w:pPr>
      <w:jc w:val="both"/>
    </w:pPr>
    <w:rPr>
      <w:lang w:val="el-GR"/>
    </w:rPr>
  </w:style>
  <w:style w:type="paragraph" w:styleId="20">
    <w:name w:val="Body Text 2"/>
    <w:basedOn w:val="a"/>
    <w:pPr>
      <w:jc w:val="center"/>
    </w:pPr>
    <w:rPr>
      <w:b/>
      <w:bCs/>
      <w:lang w:val="el-GR"/>
    </w:rPr>
  </w:style>
  <w:style w:type="paragraph" w:styleId="3">
    <w:name w:val="Body Text 3"/>
    <w:basedOn w:val="a"/>
    <w:pPr>
      <w:jc w:val="both"/>
    </w:pPr>
    <w:rPr>
      <w:sz w:val="26"/>
      <w:lang w:val="el-GR"/>
    </w:rPr>
  </w:style>
  <w:style w:type="paragraph" w:styleId="a8">
    <w:name w:val="Balloon Text"/>
    <w:basedOn w:val="a"/>
    <w:semiHidden/>
    <w:rPr>
      <w:rFonts w:ascii="Tahoma" w:hAnsi="Tahoma" w:cs="Tahoma"/>
      <w:sz w:val="16"/>
      <w:szCs w:val="16"/>
    </w:rPr>
  </w:style>
  <w:style w:type="paragraph" w:styleId="Web">
    <w:name w:val="Normal (Web)"/>
    <w:basedOn w:val="a"/>
    <w:rsid w:val="006428E0"/>
    <w:pPr>
      <w:spacing w:before="100" w:beforeAutospacing="1" w:after="100" w:afterAutospacing="1"/>
    </w:pPr>
    <w:rPr>
      <w:szCs w:val="24"/>
      <w:lang w:val="el-GR" w:eastAsia="el-GR"/>
    </w:rPr>
  </w:style>
  <w:style w:type="character" w:customStyle="1" w:styleId="normal1">
    <w:name w:val="normal1"/>
    <w:rsid w:val="00605483"/>
    <w:rPr>
      <w:rFonts w:ascii="Verdana" w:hAnsi="Verdana" w:hint="default"/>
      <w:color w:val="13339F"/>
      <w:sz w:val="18"/>
      <w:szCs w:val="18"/>
    </w:rPr>
  </w:style>
  <w:style w:type="paragraph" w:customStyle="1" w:styleId="CharCharCharCharCharCharChar">
    <w:name w:val="Char Char Char Char Char Char Char"/>
    <w:basedOn w:val="a"/>
    <w:rsid w:val="008506AD"/>
    <w:pPr>
      <w:spacing w:after="160" w:line="240" w:lineRule="exact"/>
    </w:pPr>
    <w:rPr>
      <w:rFonts w:ascii="Verdana" w:hAnsi="Verdana"/>
      <w:sz w:val="20"/>
      <w:lang w:val="en-US"/>
    </w:rPr>
  </w:style>
  <w:style w:type="paragraph" w:customStyle="1" w:styleId="Char">
    <w:name w:val="Char"/>
    <w:basedOn w:val="a"/>
    <w:rsid w:val="0062308D"/>
    <w:pPr>
      <w:spacing w:after="160" w:line="240" w:lineRule="exact"/>
    </w:pPr>
    <w:rPr>
      <w:rFonts w:ascii="Verdana" w:hAnsi="Verdana"/>
      <w:sz w:val="20"/>
      <w:lang w:val="en-US"/>
    </w:rPr>
  </w:style>
  <w:style w:type="character" w:styleId="a9">
    <w:name w:val="annotation reference"/>
    <w:semiHidden/>
    <w:rsid w:val="001A5E12"/>
    <w:rPr>
      <w:sz w:val="16"/>
      <w:szCs w:val="16"/>
    </w:rPr>
  </w:style>
  <w:style w:type="paragraph" w:styleId="aa">
    <w:name w:val="annotation text"/>
    <w:basedOn w:val="a"/>
    <w:semiHidden/>
    <w:rsid w:val="001A5E12"/>
    <w:rPr>
      <w:sz w:val="20"/>
    </w:rPr>
  </w:style>
  <w:style w:type="paragraph" w:styleId="ab">
    <w:name w:val="annotation subject"/>
    <w:basedOn w:val="aa"/>
    <w:next w:val="aa"/>
    <w:semiHidden/>
    <w:rsid w:val="001A5E12"/>
    <w:rPr>
      <w:b/>
      <w:bCs/>
    </w:rPr>
  </w:style>
  <w:style w:type="table" w:styleId="ac">
    <w:name w:val="Table Grid"/>
    <w:basedOn w:val="a1"/>
    <w:uiPriority w:val="59"/>
    <w:rsid w:val="008A79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rsid w:val="001B3CDB"/>
    <w:pPr>
      <w:spacing w:after="160" w:line="240" w:lineRule="exact"/>
    </w:pPr>
    <w:rPr>
      <w:rFonts w:ascii="Verdana" w:hAnsi="Verdana"/>
      <w:sz w:val="20"/>
      <w:lang w:val="en-US"/>
    </w:rPr>
  </w:style>
  <w:style w:type="character" w:customStyle="1" w:styleId="watch-title">
    <w:name w:val="watch-title"/>
    <w:rsid w:val="00C71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3371">
      <w:bodyDiv w:val="1"/>
      <w:marLeft w:val="0"/>
      <w:marRight w:val="0"/>
      <w:marTop w:val="0"/>
      <w:marBottom w:val="0"/>
      <w:divBdr>
        <w:top w:val="none" w:sz="0" w:space="0" w:color="auto"/>
        <w:left w:val="none" w:sz="0" w:space="0" w:color="auto"/>
        <w:bottom w:val="none" w:sz="0" w:space="0" w:color="auto"/>
        <w:right w:val="none" w:sz="0" w:space="0" w:color="auto"/>
      </w:divBdr>
    </w:div>
    <w:div w:id="60175897">
      <w:bodyDiv w:val="1"/>
      <w:marLeft w:val="0"/>
      <w:marRight w:val="0"/>
      <w:marTop w:val="0"/>
      <w:marBottom w:val="0"/>
      <w:divBdr>
        <w:top w:val="none" w:sz="0" w:space="0" w:color="auto"/>
        <w:left w:val="none" w:sz="0" w:space="0" w:color="auto"/>
        <w:bottom w:val="none" w:sz="0" w:space="0" w:color="auto"/>
        <w:right w:val="none" w:sz="0" w:space="0" w:color="auto"/>
      </w:divBdr>
    </w:div>
    <w:div w:id="115485392">
      <w:bodyDiv w:val="1"/>
      <w:marLeft w:val="0"/>
      <w:marRight w:val="0"/>
      <w:marTop w:val="0"/>
      <w:marBottom w:val="0"/>
      <w:divBdr>
        <w:top w:val="none" w:sz="0" w:space="0" w:color="auto"/>
        <w:left w:val="none" w:sz="0" w:space="0" w:color="auto"/>
        <w:bottom w:val="none" w:sz="0" w:space="0" w:color="auto"/>
        <w:right w:val="none" w:sz="0" w:space="0" w:color="auto"/>
      </w:divBdr>
    </w:div>
    <w:div w:id="212469963">
      <w:bodyDiv w:val="1"/>
      <w:marLeft w:val="0"/>
      <w:marRight w:val="0"/>
      <w:marTop w:val="0"/>
      <w:marBottom w:val="0"/>
      <w:divBdr>
        <w:top w:val="none" w:sz="0" w:space="0" w:color="auto"/>
        <w:left w:val="none" w:sz="0" w:space="0" w:color="auto"/>
        <w:bottom w:val="none" w:sz="0" w:space="0" w:color="auto"/>
        <w:right w:val="none" w:sz="0" w:space="0" w:color="auto"/>
      </w:divBdr>
    </w:div>
    <w:div w:id="260843927">
      <w:bodyDiv w:val="1"/>
      <w:marLeft w:val="0"/>
      <w:marRight w:val="0"/>
      <w:marTop w:val="0"/>
      <w:marBottom w:val="0"/>
      <w:divBdr>
        <w:top w:val="none" w:sz="0" w:space="0" w:color="auto"/>
        <w:left w:val="none" w:sz="0" w:space="0" w:color="auto"/>
        <w:bottom w:val="none" w:sz="0" w:space="0" w:color="auto"/>
        <w:right w:val="none" w:sz="0" w:space="0" w:color="auto"/>
      </w:divBdr>
      <w:divsChild>
        <w:div w:id="88241324">
          <w:marLeft w:val="0"/>
          <w:marRight w:val="0"/>
          <w:marTop w:val="0"/>
          <w:marBottom w:val="0"/>
          <w:divBdr>
            <w:top w:val="none" w:sz="0" w:space="0" w:color="auto"/>
            <w:left w:val="none" w:sz="0" w:space="0" w:color="auto"/>
            <w:bottom w:val="none" w:sz="0" w:space="0" w:color="auto"/>
            <w:right w:val="none" w:sz="0" w:space="0" w:color="auto"/>
          </w:divBdr>
        </w:div>
        <w:div w:id="153841386">
          <w:marLeft w:val="0"/>
          <w:marRight w:val="0"/>
          <w:marTop w:val="0"/>
          <w:marBottom w:val="0"/>
          <w:divBdr>
            <w:top w:val="none" w:sz="0" w:space="0" w:color="auto"/>
            <w:left w:val="none" w:sz="0" w:space="0" w:color="auto"/>
            <w:bottom w:val="none" w:sz="0" w:space="0" w:color="auto"/>
            <w:right w:val="none" w:sz="0" w:space="0" w:color="auto"/>
          </w:divBdr>
        </w:div>
        <w:div w:id="172847214">
          <w:marLeft w:val="0"/>
          <w:marRight w:val="0"/>
          <w:marTop w:val="0"/>
          <w:marBottom w:val="0"/>
          <w:divBdr>
            <w:top w:val="none" w:sz="0" w:space="0" w:color="auto"/>
            <w:left w:val="none" w:sz="0" w:space="0" w:color="auto"/>
            <w:bottom w:val="none" w:sz="0" w:space="0" w:color="auto"/>
            <w:right w:val="none" w:sz="0" w:space="0" w:color="auto"/>
          </w:divBdr>
        </w:div>
        <w:div w:id="261492166">
          <w:marLeft w:val="0"/>
          <w:marRight w:val="0"/>
          <w:marTop w:val="0"/>
          <w:marBottom w:val="0"/>
          <w:divBdr>
            <w:top w:val="none" w:sz="0" w:space="0" w:color="auto"/>
            <w:left w:val="none" w:sz="0" w:space="0" w:color="auto"/>
            <w:bottom w:val="none" w:sz="0" w:space="0" w:color="auto"/>
            <w:right w:val="none" w:sz="0" w:space="0" w:color="auto"/>
          </w:divBdr>
        </w:div>
        <w:div w:id="298993744">
          <w:marLeft w:val="0"/>
          <w:marRight w:val="0"/>
          <w:marTop w:val="0"/>
          <w:marBottom w:val="0"/>
          <w:divBdr>
            <w:top w:val="none" w:sz="0" w:space="0" w:color="auto"/>
            <w:left w:val="none" w:sz="0" w:space="0" w:color="auto"/>
            <w:bottom w:val="none" w:sz="0" w:space="0" w:color="auto"/>
            <w:right w:val="none" w:sz="0" w:space="0" w:color="auto"/>
          </w:divBdr>
        </w:div>
        <w:div w:id="299921483">
          <w:marLeft w:val="0"/>
          <w:marRight w:val="0"/>
          <w:marTop w:val="0"/>
          <w:marBottom w:val="0"/>
          <w:divBdr>
            <w:top w:val="none" w:sz="0" w:space="0" w:color="auto"/>
            <w:left w:val="none" w:sz="0" w:space="0" w:color="auto"/>
            <w:bottom w:val="none" w:sz="0" w:space="0" w:color="auto"/>
            <w:right w:val="none" w:sz="0" w:space="0" w:color="auto"/>
          </w:divBdr>
        </w:div>
        <w:div w:id="505485554">
          <w:marLeft w:val="0"/>
          <w:marRight w:val="0"/>
          <w:marTop w:val="0"/>
          <w:marBottom w:val="0"/>
          <w:divBdr>
            <w:top w:val="none" w:sz="0" w:space="0" w:color="auto"/>
            <w:left w:val="none" w:sz="0" w:space="0" w:color="auto"/>
            <w:bottom w:val="none" w:sz="0" w:space="0" w:color="auto"/>
            <w:right w:val="none" w:sz="0" w:space="0" w:color="auto"/>
          </w:divBdr>
        </w:div>
        <w:div w:id="649795903">
          <w:marLeft w:val="0"/>
          <w:marRight w:val="0"/>
          <w:marTop w:val="0"/>
          <w:marBottom w:val="0"/>
          <w:divBdr>
            <w:top w:val="none" w:sz="0" w:space="0" w:color="auto"/>
            <w:left w:val="none" w:sz="0" w:space="0" w:color="auto"/>
            <w:bottom w:val="none" w:sz="0" w:space="0" w:color="auto"/>
            <w:right w:val="none" w:sz="0" w:space="0" w:color="auto"/>
          </w:divBdr>
        </w:div>
        <w:div w:id="824197885">
          <w:marLeft w:val="0"/>
          <w:marRight w:val="0"/>
          <w:marTop w:val="0"/>
          <w:marBottom w:val="0"/>
          <w:divBdr>
            <w:top w:val="none" w:sz="0" w:space="0" w:color="auto"/>
            <w:left w:val="none" w:sz="0" w:space="0" w:color="auto"/>
            <w:bottom w:val="none" w:sz="0" w:space="0" w:color="auto"/>
            <w:right w:val="none" w:sz="0" w:space="0" w:color="auto"/>
          </w:divBdr>
        </w:div>
        <w:div w:id="1013335088">
          <w:marLeft w:val="0"/>
          <w:marRight w:val="0"/>
          <w:marTop w:val="0"/>
          <w:marBottom w:val="0"/>
          <w:divBdr>
            <w:top w:val="none" w:sz="0" w:space="0" w:color="auto"/>
            <w:left w:val="none" w:sz="0" w:space="0" w:color="auto"/>
            <w:bottom w:val="none" w:sz="0" w:space="0" w:color="auto"/>
            <w:right w:val="none" w:sz="0" w:space="0" w:color="auto"/>
          </w:divBdr>
        </w:div>
        <w:div w:id="1142891023">
          <w:marLeft w:val="0"/>
          <w:marRight w:val="0"/>
          <w:marTop w:val="0"/>
          <w:marBottom w:val="0"/>
          <w:divBdr>
            <w:top w:val="none" w:sz="0" w:space="0" w:color="auto"/>
            <w:left w:val="none" w:sz="0" w:space="0" w:color="auto"/>
            <w:bottom w:val="none" w:sz="0" w:space="0" w:color="auto"/>
            <w:right w:val="none" w:sz="0" w:space="0" w:color="auto"/>
          </w:divBdr>
        </w:div>
        <w:div w:id="1857649860">
          <w:marLeft w:val="0"/>
          <w:marRight w:val="0"/>
          <w:marTop w:val="0"/>
          <w:marBottom w:val="0"/>
          <w:divBdr>
            <w:top w:val="none" w:sz="0" w:space="0" w:color="auto"/>
            <w:left w:val="none" w:sz="0" w:space="0" w:color="auto"/>
            <w:bottom w:val="none" w:sz="0" w:space="0" w:color="auto"/>
            <w:right w:val="none" w:sz="0" w:space="0" w:color="auto"/>
          </w:divBdr>
        </w:div>
        <w:div w:id="1926837228">
          <w:marLeft w:val="0"/>
          <w:marRight w:val="0"/>
          <w:marTop w:val="0"/>
          <w:marBottom w:val="0"/>
          <w:divBdr>
            <w:top w:val="none" w:sz="0" w:space="0" w:color="auto"/>
            <w:left w:val="none" w:sz="0" w:space="0" w:color="auto"/>
            <w:bottom w:val="none" w:sz="0" w:space="0" w:color="auto"/>
            <w:right w:val="none" w:sz="0" w:space="0" w:color="auto"/>
          </w:divBdr>
        </w:div>
      </w:divsChild>
    </w:div>
    <w:div w:id="548146351">
      <w:bodyDiv w:val="1"/>
      <w:marLeft w:val="0"/>
      <w:marRight w:val="0"/>
      <w:marTop w:val="0"/>
      <w:marBottom w:val="0"/>
      <w:divBdr>
        <w:top w:val="none" w:sz="0" w:space="0" w:color="auto"/>
        <w:left w:val="none" w:sz="0" w:space="0" w:color="auto"/>
        <w:bottom w:val="none" w:sz="0" w:space="0" w:color="auto"/>
        <w:right w:val="none" w:sz="0" w:space="0" w:color="auto"/>
      </w:divBdr>
    </w:div>
    <w:div w:id="1520392352">
      <w:bodyDiv w:val="1"/>
      <w:marLeft w:val="0"/>
      <w:marRight w:val="0"/>
      <w:marTop w:val="0"/>
      <w:marBottom w:val="0"/>
      <w:divBdr>
        <w:top w:val="none" w:sz="0" w:space="0" w:color="auto"/>
        <w:left w:val="none" w:sz="0" w:space="0" w:color="auto"/>
        <w:bottom w:val="none" w:sz="0" w:space="0" w:color="auto"/>
        <w:right w:val="none" w:sz="0" w:space="0" w:color="auto"/>
      </w:divBdr>
    </w:div>
    <w:div w:id="1803384317">
      <w:bodyDiv w:val="1"/>
      <w:marLeft w:val="0"/>
      <w:marRight w:val="0"/>
      <w:marTop w:val="0"/>
      <w:marBottom w:val="0"/>
      <w:divBdr>
        <w:top w:val="none" w:sz="0" w:space="0" w:color="auto"/>
        <w:left w:val="none" w:sz="0" w:space="0" w:color="auto"/>
        <w:bottom w:val="none" w:sz="0" w:space="0" w:color="auto"/>
        <w:right w:val="none" w:sz="0" w:space="0" w:color="auto"/>
      </w:divBdr>
    </w:div>
    <w:div w:id="1831409382">
      <w:bodyDiv w:val="1"/>
      <w:marLeft w:val="0"/>
      <w:marRight w:val="0"/>
      <w:marTop w:val="0"/>
      <w:marBottom w:val="0"/>
      <w:divBdr>
        <w:top w:val="none" w:sz="0" w:space="0" w:color="auto"/>
        <w:left w:val="none" w:sz="0" w:space="0" w:color="auto"/>
        <w:bottom w:val="none" w:sz="0" w:space="0" w:color="auto"/>
        <w:right w:val="none" w:sz="0" w:space="0" w:color="auto"/>
      </w:divBdr>
    </w:div>
    <w:div w:id="2091853991">
      <w:bodyDiv w:val="1"/>
      <w:marLeft w:val="0"/>
      <w:marRight w:val="0"/>
      <w:marTop w:val="0"/>
      <w:marBottom w:val="0"/>
      <w:divBdr>
        <w:top w:val="none" w:sz="0" w:space="0" w:color="auto"/>
        <w:left w:val="none" w:sz="0" w:space="0" w:color="auto"/>
        <w:bottom w:val="none" w:sz="0" w:space="0" w:color="auto"/>
        <w:right w:val="none" w:sz="0" w:space="0" w:color="auto"/>
      </w:divBdr>
    </w:div>
    <w:div w:id="2111121292">
      <w:bodyDiv w:val="1"/>
      <w:marLeft w:val="0"/>
      <w:marRight w:val="0"/>
      <w:marTop w:val="0"/>
      <w:marBottom w:val="0"/>
      <w:divBdr>
        <w:top w:val="none" w:sz="0" w:space="0" w:color="auto"/>
        <w:left w:val="none" w:sz="0" w:space="0" w:color="auto"/>
        <w:bottom w:val="none" w:sz="0" w:space="0" w:color="auto"/>
        <w:right w:val="none" w:sz="0" w:space="0" w:color="auto"/>
      </w:divBdr>
      <w:divsChild>
        <w:div w:id="182130853">
          <w:marLeft w:val="0"/>
          <w:marRight w:val="0"/>
          <w:marTop w:val="0"/>
          <w:marBottom w:val="0"/>
          <w:divBdr>
            <w:top w:val="none" w:sz="0" w:space="0" w:color="auto"/>
            <w:left w:val="none" w:sz="0" w:space="0" w:color="auto"/>
            <w:bottom w:val="none" w:sz="0" w:space="0" w:color="auto"/>
            <w:right w:val="none" w:sz="0" w:space="0" w:color="auto"/>
          </w:divBdr>
          <w:divsChild>
            <w:div w:id="950480019">
              <w:marLeft w:val="0"/>
              <w:marRight w:val="0"/>
              <w:marTop w:val="0"/>
              <w:marBottom w:val="0"/>
              <w:divBdr>
                <w:top w:val="none" w:sz="0" w:space="0" w:color="auto"/>
                <w:left w:val="single" w:sz="6" w:space="0" w:color="CCCCCC"/>
                <w:bottom w:val="none" w:sz="0" w:space="0" w:color="auto"/>
                <w:right w:val="single" w:sz="6" w:space="0" w:color="CCCCCC"/>
              </w:divBdr>
              <w:divsChild>
                <w:div w:id="560363700">
                  <w:marLeft w:val="0"/>
                  <w:marRight w:val="0"/>
                  <w:marTop w:val="0"/>
                  <w:marBottom w:val="0"/>
                  <w:divBdr>
                    <w:top w:val="none" w:sz="0" w:space="0" w:color="auto"/>
                    <w:left w:val="none" w:sz="0" w:space="0" w:color="auto"/>
                    <w:bottom w:val="none" w:sz="0" w:space="0" w:color="auto"/>
                    <w:right w:val="none" w:sz="0" w:space="0" w:color="auto"/>
                  </w:divBdr>
                  <w:divsChild>
                    <w:div w:id="1348217293">
                      <w:marLeft w:val="0"/>
                      <w:marRight w:val="0"/>
                      <w:marTop w:val="0"/>
                      <w:marBottom w:val="0"/>
                      <w:divBdr>
                        <w:top w:val="none" w:sz="0" w:space="0" w:color="auto"/>
                        <w:left w:val="none" w:sz="0" w:space="0" w:color="auto"/>
                        <w:bottom w:val="none" w:sz="0" w:space="0" w:color="auto"/>
                        <w:right w:val="none" w:sz="0" w:space="0" w:color="auto"/>
                      </w:divBdr>
                      <w:divsChild>
                        <w:div w:id="480468197">
                          <w:marLeft w:val="0"/>
                          <w:marRight w:val="0"/>
                          <w:marTop w:val="0"/>
                          <w:marBottom w:val="0"/>
                          <w:divBdr>
                            <w:top w:val="none" w:sz="0" w:space="0" w:color="auto"/>
                            <w:left w:val="single" w:sz="48" w:space="0" w:color="FFFFFF"/>
                            <w:bottom w:val="single" w:sz="48" w:space="0" w:color="FFFFFF"/>
                            <w:right w:val="single" w:sz="48" w:space="0" w:color="FFFFFF"/>
                          </w:divBdr>
                          <w:divsChild>
                            <w:div w:id="3215409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etrics.ekt.gr/el/node/339" TargetMode="External"/><Relationship Id="rId18" Type="http://schemas.openxmlformats.org/officeDocument/2006/relationships/image" Target="media/image3.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metrics.ekt.gr" TargetMode="External"/><Relationship Id="rId17" Type="http://schemas.openxmlformats.org/officeDocument/2006/relationships/image" Target="media/image2.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ekt.g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trics.ekt.gr/el/node/339"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ekt.gr" TargetMode="External"/><Relationship Id="rId23" Type="http://schemas.openxmlformats.org/officeDocument/2006/relationships/footer" Target="footer2.xml"/><Relationship Id="rId10" Type="http://schemas.openxmlformats.org/officeDocument/2006/relationships/hyperlink" Target="http://metrics.ekt.gr/el/node/339" TargetMode="Externa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metrics.ekt.gr"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8B16D-642A-4AF5-B410-10DE9582E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1026</Words>
  <Characters>6313</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EKT</Company>
  <LinksUpToDate>false</LinksUpToDate>
  <CharactersWithSpaces>7325</CharactersWithSpaces>
  <SharedDoc>false</SharedDoc>
  <HLinks>
    <vt:vector size="42" baseType="variant">
      <vt:variant>
        <vt:i4>7471207</vt:i4>
      </vt:variant>
      <vt:variant>
        <vt:i4>18</vt:i4>
      </vt:variant>
      <vt:variant>
        <vt:i4>0</vt:i4>
      </vt:variant>
      <vt:variant>
        <vt:i4>5</vt:i4>
      </vt:variant>
      <vt:variant>
        <vt:lpwstr>http://www.ekt.gr/</vt:lpwstr>
      </vt:variant>
      <vt:variant>
        <vt:lpwstr/>
      </vt:variant>
      <vt:variant>
        <vt:i4>7471207</vt:i4>
      </vt:variant>
      <vt:variant>
        <vt:i4>15</vt:i4>
      </vt:variant>
      <vt:variant>
        <vt:i4>0</vt:i4>
      </vt:variant>
      <vt:variant>
        <vt:i4>5</vt:i4>
      </vt:variant>
      <vt:variant>
        <vt:lpwstr>http://www.ekt.gr/</vt:lpwstr>
      </vt:variant>
      <vt:variant>
        <vt:lpwstr/>
      </vt:variant>
      <vt:variant>
        <vt:i4>7405668</vt:i4>
      </vt:variant>
      <vt:variant>
        <vt:i4>12</vt:i4>
      </vt:variant>
      <vt:variant>
        <vt:i4>0</vt:i4>
      </vt:variant>
      <vt:variant>
        <vt:i4>5</vt:i4>
      </vt:variant>
      <vt:variant>
        <vt:lpwstr>http://metrics.ekt.gr/</vt:lpwstr>
      </vt:variant>
      <vt:variant>
        <vt:lpwstr/>
      </vt:variant>
      <vt:variant>
        <vt:i4>720919</vt:i4>
      </vt:variant>
      <vt:variant>
        <vt:i4>9</vt:i4>
      </vt:variant>
      <vt:variant>
        <vt:i4>0</vt:i4>
      </vt:variant>
      <vt:variant>
        <vt:i4>5</vt:i4>
      </vt:variant>
      <vt:variant>
        <vt:lpwstr>http://metrics.ekt.gr/el/node/331</vt:lpwstr>
      </vt:variant>
      <vt:variant>
        <vt:lpwstr/>
      </vt:variant>
      <vt:variant>
        <vt:i4>7405668</vt:i4>
      </vt:variant>
      <vt:variant>
        <vt:i4>6</vt:i4>
      </vt:variant>
      <vt:variant>
        <vt:i4>0</vt:i4>
      </vt:variant>
      <vt:variant>
        <vt:i4>5</vt:i4>
      </vt:variant>
      <vt:variant>
        <vt:lpwstr>http://metrics.ekt.gr/</vt:lpwstr>
      </vt:variant>
      <vt:variant>
        <vt:lpwstr/>
      </vt:variant>
      <vt:variant>
        <vt:i4>720919</vt:i4>
      </vt:variant>
      <vt:variant>
        <vt:i4>3</vt:i4>
      </vt:variant>
      <vt:variant>
        <vt:i4>0</vt:i4>
      </vt:variant>
      <vt:variant>
        <vt:i4>5</vt:i4>
      </vt:variant>
      <vt:variant>
        <vt:lpwstr>http://metrics.ekt.gr/el/node/331</vt:lpwstr>
      </vt:variant>
      <vt:variant>
        <vt:lpwstr/>
      </vt:variant>
      <vt:variant>
        <vt:i4>720919</vt:i4>
      </vt:variant>
      <vt:variant>
        <vt:i4>0</vt:i4>
      </vt:variant>
      <vt:variant>
        <vt:i4>0</vt:i4>
      </vt:variant>
      <vt:variant>
        <vt:i4>5</vt:i4>
      </vt:variant>
      <vt:variant>
        <vt:lpwstr>http://metrics.ekt.gr/el/node/331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Μαργαρίτης Προέδρου</dc:creator>
  <cp:keywords/>
  <cp:lastModifiedBy>Μαργαρίτης Προέδρου</cp:lastModifiedBy>
  <cp:revision>10</cp:revision>
  <cp:lastPrinted>2017-07-05T11:30:00Z</cp:lastPrinted>
  <dcterms:created xsi:type="dcterms:W3CDTF">2017-07-05T09:31:00Z</dcterms:created>
  <dcterms:modified xsi:type="dcterms:W3CDTF">2017-07-05T12:25:00Z</dcterms:modified>
</cp:coreProperties>
</file>